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XYZ Global Industries Corp — Circular RMA Grading, CBAM &amp; EUDR Compliance Manual</w:t>
      </w:r>
    </w:p>
    <w:p>
      <w:r>
        <w:rPr>
          <w:i/>
          <w:sz w:val="22"/>
        </w:rPr>
        <w:t>Policy ID: SOP-ESG-2026-004 | ReturnLoop, OTIF Penalty Shield &amp; EcoChain</w:t>
      </w:r>
    </w:p>
    <w:p>
      <w:r>
        <w:rPr>
          <w:sz w:val="22"/>
        </w:rPr>
        <w:t>1. OPTICAL RMA GRADING: Customer returns are graded via Gemini 3.8 Flash into Grade-A (Factory Seal Intact -&gt; Direct FDC Restock, 94% recovery), Grade-B (Certified Refurb), and Grade-C (Component Harvest).</w:t>
      </w:r>
    </w:p>
    <w:p>
      <w:r>
        <w:rPr>
          <w:sz w:val="22"/>
        </w:rPr>
        <w:t>2. EMPTY BACKHAUL MATCHING: ReturnLoop pairs retail RMA pickups with returning FleetFlow delivery trucks (&lt;5 km detour) to eliminate LTL reverse freight.</w:t>
      </w:r>
    </w:p>
    <w:p>
      <w:r>
        <w:rPr>
          <w:sz w:val="22"/>
        </w:rPr>
        <w:t>3. CBAM &amp; EUDR: Every import into the EU must attach primary smelter carbon declarations and Google Earth Engine zero-deforestation polygon verification.</w:t>
      </w:r>
    </w:p>
  </w:body>
</w:document>
</file>