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XYZ Global Industries Corp — 21 CFR Part 11 Inline Quality &amp; Supplier SCAR Protocol</w:t>
      </w:r>
    </w:p>
    <w:p>
      <w:r>
        <w:rPr>
          <w:i/>
          <w:sz w:val="22"/>
        </w:rPr>
        <w:t>Policy ID: SOP-QUAL-2026-003 | VisionInspect, QualiShield, YieldMax &amp; AssetGuard</w:t>
      </w:r>
    </w:p>
    <w:p>
      <w:r>
        <w:rPr>
          <w:sz w:val="22"/>
        </w:rPr>
        <w:t>1. INLINE VISION THRESHOLD: GigE 120-FPS optical cameras classify every unit with Gemini 3.8 Flash. Any critical seal or crack defect &gt;= 0.95 confidence fires the pneumatic reject gate within 15 milliseconds.</w:t>
      </w:r>
    </w:p>
    <w:p>
      <w:r>
        <w:rPr>
          <w:sz w:val="22"/>
        </w:rPr>
        <w:t>2. SUPPLIER CPK DRIFT: Incoming lots with Cpk &lt; 1.33 on critical dimensions (e.g., Batch BATCH-XYZ-AUST-8841 foil thickness Cpk 1.18) trigger automatic SAP QM quarantine and Cost of Poor Quality (COPQ) debit notes.</w:t>
      </w:r>
    </w:p>
  </w:body>
</w:document>
</file>