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XYZ Global Industries Corp — Geopolitical &amp; Typhoon Disruption War Room Playbook</w:t>
      </w:r>
    </w:p>
    <w:p>
      <w:r>
        <w:rPr>
          <w:i/>
          <w:sz w:val="22"/>
        </w:rPr>
        <w:t>Policy ID: SOP-RISK-2026-002 | StormShield, NexusShield, PortWatch &amp; AeroFreight</w:t>
      </w:r>
    </w:p>
    <w:p>
      <w:r>
        <w:rPr>
          <w:sz w:val="22"/>
        </w:rPr>
        <w:t>1. TRIGGER THRESHOLD: Activated automatically when Spire Maritime AIS or WeatherNext 3 detects a Category 3+ typhoon or port strike impacting &gt;$1,000,000 in active shipments.</w:t>
      </w:r>
    </w:p>
    <w:p>
      <w:r>
        <w:rPr>
          <w:sz w:val="22"/>
        </w:rPr>
        <w:t>2. MARITIME REROUTING: Vessel MV-AETHER-PRIDE reroutes via Southern Bypass Corridor; PortWatch shifts drayage appointments from congested terminals to off-peak gates.</w:t>
      </w:r>
    </w:p>
    <w:p>
      <w:r>
        <w:rPr>
          <w:sz w:val="22"/>
        </w:rPr>
        <w:t>3. AIR CARGO BRIDGE: AeroFreight books belly-hold LD3/LD7 ULDs for critical A-velocity SKUs (SKU-XYZ-101, SKU-XYZ-412) with &lt;72 hours plant line buffer.</w:t>
      </w:r>
    </w:p>
  </w:body>
</w:document>
</file>