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XYZ Global Industries Corp — Global Supply Chain SOP &amp; Delegation of Authority Matrix</w:t>
      </w:r>
    </w:p>
    <w:p>
      <w:r>
        <w:rPr>
          <w:i/>
          <w:sz w:val="22"/>
        </w:rPr>
        <w:t>Policy ID: SOP-CSCO-2026-001 | Effective across all 6 SCOR Pillars &amp; 35 AI Agents</w:t>
      </w:r>
    </w:p>
    <w:p>
      <w:r>
        <w:rPr>
          <w:sz w:val="22"/>
        </w:rPr>
        <w:t>1. PURPOSE: Establish unified operational governance across Demand Planning, Strategic Sourcing, Manufacturing, Multi-Echelon Fulfillment, Multi-Modal Logistics, and Circular Returns for XYZ Global Industries Corp.</w:t>
      </w:r>
    </w:p>
    <w:p>
      <w:r>
        <w:rPr>
          <w:sz w:val="22"/>
        </w:rPr>
        <w:t>2. DELEGATION OF AUTHORITY: Autonomous AI Agent execution is authorized up to $2,000,000 USD per playbook for the CSCO Control Tower Copilot (TowerMind). Actions above $2,000,000 require dual CSCO + CFO electronic sign-off.</w:t>
      </w:r>
    </w:p>
    <w:p>
      <w:r>
        <w:rPr>
          <w:sz w:val="22"/>
        </w:rPr>
        <w:t>3. MANDATORY IDEMPOTENCY &amp; QUALITY GATES: Every ERP/WMS/TMS write-back tool must pass a non-empty idempotency_key and validate entity master codes (SKU-XYZ-*, PLANT-XYZ-*, SUP-XYZ-*).</w:t>
      </w:r>
    </w:p>
    <w:p>
      <w:r>
        <w:rPr>
          <w:sz w:val="22"/>
        </w:rPr>
        <w:t>4. CROSS-PILLAR TANDEM WORKFLOW: When PulseCast detects a &gt;12% demand surge, it triggers Synapse S&amp;OP capacity balancing, SourcePulse raw-material RFQ checks, EchelonFlow safety-stock reallocation, and FleetFlow corridor dispatch.</w:t>
      </w:r>
    </w:p>
  </w:body>
</w:document>
</file>