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BFW1001 Foundations of Finance</w:t>
      </w:r>
    </w:p>
    <w:p>
      <w:pPr>
        <w:spacing w:after="80"/>
        <w:jc w:val="center"/>
      </w:pPr>
      <w:r>
        <w:rPr>
          <w:b/>
          <w:bCs/>
          <w:sz w:val="26"/>
          <w:szCs w:val="26"/>
        </w:rPr>
        <w:t xml:space="preserve">Part 2: Investment Analysis Report</w:t>
      </w:r>
    </w:p>
    <w:p>
      <w:pPr>
        <w:spacing w:after="240"/>
        <w:jc w:val="center"/>
      </w:pPr>
      <w:r>
        <w:rPr>
          <w:sz w:val="24"/>
          <w:szCs w:val="24"/>
        </w:rPr>
        <w:t xml:space="preserve">Tutorial 6 — Group 01</w:t>
      </w:r>
    </w:p>
    <w:p>
      <w:pPr>
        <w:pStyle w:val="Heading1"/>
      </w:pPr>
      <w:r>
        <w:t xml:space="preserve">1.0 Introduction</w:t>
      </w:r>
    </w:p>
    <w:p>
      <w:pPr>
        <w:spacing w:after="160" w:line="276"/>
        <w:jc w:val="both"/>
      </w:pPr>
      <w:r>
        <w:t xml:space="preserve">Our team adopts a risk-neutral investment approach, aiming to balance potential returns against volatility. While investor interest in technology-driven solutions continues to grow, we remain cautious in our selection. We focus on companies with sustainable growth trajectories and transparent ESG practices, supported by strong financial ratios, so that we maintain a disciplined stance towards market fluctuation and risk exposure.</w:t>
      </w:r>
    </w:p>
    <w:p>
      <w:pPr>
        <w:spacing w:after="160" w:line="276"/>
        <w:jc w:val="both"/>
      </w:pPr>
      <w:r>
        <w:t xml:space="preserve">Our selected companies fall under the software and computing sector, which develops, delivers, and supports the digital solutions that help households, firms, and governments operate more efficiently. This includes software development, data solutions, and IT infrastructure. The sector is innovation-driven and offers sustainable growth and proven operational resilience, which fits our investment strategy well.</w:t>
      </w:r>
    </w:p>
    <w:p>
      <w:pPr>
        <w:spacing w:after="160" w:line="276"/>
        <w:jc w:val="both"/>
      </w:pPr>
      <w:r>
        <w:t xml:space="preserve">Within this sector in the United Kingdom, we are interested in 1Spatial Plc, a software company founded in 2005 and listed on the Alternative Investment Market (AIM) of the London Stock Exchange (London Stock Exchange, 2025), which offers flexible listing rules for growth-oriented firms. 1Spatial specialises in Location Master Data Management (LMDM) software and solutions for government, utilities, and the transport and infrastructure sectors. Its platform supports data governance and enables compliant, complete, and consistent operations. With operations in Ireland, the USA, France, Belgium, Tunisia, and Australia, 1Spatial partners with leading technology consultancies and Geographic Information System (GIS) providers such as ESRI, establishing its role in the global geospatial ecosystem (1Spatial, 2025). As of October 2025, 1Spatial's estimated market capitalisation is approximately £58.47 million (LSEG Refinitiv Eikon Datastream, 2025), making it a small-cap firm whose size reflects its early-stage positioning and potential for future growth.</w:t>
      </w:r>
    </w:p>
    <w:p>
      <w:pPr>
        <w:spacing w:after="160" w:line="276"/>
        <w:jc w:val="both"/>
      </w:pPr>
      <w:r>
        <w:t xml:space="preserve">1Spatial earned total revenue of £32.32 million in FY2024, an 8% increase year on year. As shown in Figure 2, the group maintained its strategic momentum, with recurring revenue rising by 23% and contributing 56% of total revenue in 2024. This result reflects reduced reliance on one-off perpetual licence revenue, which fell by 23% compared with FY2023. Regionally, the largest share of revenue came from the UK and Ireland; however, growth was driven by Australia and the US, which increased by 20% and 10% respectively in FY2024, highlighting the company's flexibility and responsiveness to market demand across geographies (1Spatial, 2024).</w:t>
      </w:r>
    </w:p>
    <w:p>
      <w:pPr>
        <w:spacing w:after="160" w:line="276"/>
        <w:jc w:val="both"/>
      </w:pPr>
      <w:r>
        <w:t xml:space="preserve">Operating profit improved to £1.4 million in FY2024 (FY2023: £1.3 million), supported by a rise in gross profit and a 10% increase in adjusted EBITDA (see Appendix for the definition of EBITDA), with the adjusted EBITDA margin rising to 17.0%. The group's expense profile reflects strong strategic reinvestment: capitalised development costs increased to £5.3 million, spent primarily on cloud platforms for its solutions (1Spatial, 2024). Rising R&amp;D and intangible assets such as branding led to higher amortisation charges of £2.44 million, recorded within administrative expenses (Figure 4). Other key expenses included staff costs of £19.1 million (Figure 5), while finance costs increased to £355,000 due to higher borrowing for strategic development initiatives. 1Spatial does not currently pay dividends (1Spatial, 2024), as profits are retained to reinvest in R&amp;D and geographical expansion.</w:t>
      </w:r>
    </w:p>
    <w:p>
      <w:pPr>
        <w:spacing w:after="160" w:line="276"/>
        <w:jc w:val="both"/>
      </w:pPr>
      <w:r>
        <w:t xml:space="preserve">1Spatial is led by an experienced executive team whose combined expertise spans geospatial technology, financial leadership, and global market expansion. Four key decision-makers — the CEO, CFO, CTO, and CPO — are supported by seven regional and subsidiary leaders. Notably, CEO Claire Milverton, a qualified Chartered Accountant, previously served as CFO before January 2017 and earlier worked at PwC as a technology specialist (1Spatial, 2024). CFO Stuart Ritchie, a member of the Institute of Chartered Accountants who qualified with EY, brings a strong background in publicly listed technology companies; most recently, he was Group CFO at Fusion Global Limited before joining 1Spatial. This experienced structure ensures consistent leadership and supports sound decision-making across diverse regional markets.</w:t>
      </w:r>
    </w:p>
    <w:p>
      <w:pPr>
        <w:spacing w:after="160" w:line="276"/>
        <w:jc w:val="both"/>
      </w:pPr>
      <w:r>
        <w:t xml:space="preserve">The software and technology industries play an important role in maintaining the economy's data infrastructure and enabling smooth, data-driven processes across the modern economy. In line with this, 1Spatial integrates ESG principles closely into its operations, using location data to help build a safer, smarter, and more sustainable world.</w:t>
      </w:r>
    </w:p>
    <w:p>
      <w:pPr>
        <w:spacing w:after="160" w:line="276"/>
        <w:jc w:val="both"/>
      </w:pPr>
      <w:r>
        <w:t xml:space="preserve">1Spatial has committed to a transition towards net-zero emissions. For the financial year ended January 2025, the company conducted a carbon footprint and energy audit to ensure its baseline consumption accurately reflects actual usage. The audit reported a 35.77% fall in electricity consumption to 19.06 tCO₂e, attributed to IT hardware rationalisation and a reduction in office space in December 2024. Transport emissions shifted from Scope 1 to Scope 3 as company cars were phased out, increasing individual vehicle use under the formalised Flexible Working Policy. Natural gas usage rose slightly, but overall emissions declined by 15.94% compared with FY2024 (Figure 6), reflecting greater operational efficiency (1Spatial, 2025).</w:t>
      </w:r>
    </w:p>
    <w:p>
      <w:pPr>
        <w:spacing w:after="160" w:line="276"/>
        <w:jc w:val="both"/>
      </w:pPr>
      <w:r>
        <w:t xml:space="preserve">1Spatial maintains a strong governance structure, with a board of directors drawn from varied backgrounds that brings diverse expertise across technology, finance, and ESG to support decision-making. The group's Audit Committee verifies the company's financial reports, strengthens risk control, and oversees external audit performance, recording full attendance from all members in FY2025. Internal controls are monitored by the CFO to ensure risk-management practices are embedded throughout the organisation. Together, these structures help the organisation operate responsibly and meet investor expectations (1Spatial, 2025).</w:t>
      </w:r>
    </w:p>
    <w:p>
      <w:pPr>
        <w:spacing w:after="160" w:line="276"/>
        <w:jc w:val="both"/>
      </w:pPr>
      <w:r>
        <w:t xml:space="preserve">Our team selected Accesso Technology Group and Softcat as 1Spatial's main competitors, based on their shared focus on technology-driven solutions, comparable ESG transparency, and broadly comparable market positioning. Accesso specialises in virtual queuing and ticketing systems for the leisure and entertainment industry (Accesso Plc, 2025), which sets it apart from 1Spatial's focus on geospatial data services for infrastructure and government clients. Softcat, by contrast, is an IT infrastructure company with a broad client base across commercial sectors (Softcat, 2025). These differences in market focus allow a balanced comparison across sustainability, financial resilience, and strategic positioning.</w:t>
      </w:r>
    </w:p>
    <w:p>
      <w:r>
        <w:br w:type="page"/>
      </w:r>
    </w:p>
    <w:p>
      <w:pPr>
        <w:pStyle w:val="Heading1"/>
      </w:pPr>
      <w:r>
        <w:t xml:space="preserve">2.0 Investment Analysis</w:t>
      </w:r>
    </w:p>
    <w:p>
      <w:pPr>
        <w:pStyle w:val="Heading2"/>
      </w:pPr>
      <w:r>
        <w:t xml:space="preserve">2.1 Risk and Return Analysis</w:t>
      </w:r>
    </w:p>
    <w:p>
      <w:pPr>
        <w:spacing w:after="160" w:line="276"/>
        <w:jc w:val="both"/>
      </w:pPr>
      <w:r>
        <w:t xml:space="preserve">A return is the gain or loss that an investment generates over time (Hayes, 2021). The selected stock, 1Spatial (SPA), and its two competitors, Accesso Technology Group (ACSO) and Softcat (SCT), all experienced fluctuating returns between 2020 and 2024. The monthly average returns and annualised average returns show a positive upward trend, suggesting that the software and computer services sector has benefited from strong market demand. This reflects broader trends such as increased reliance on technology and wider global reach, since software products can be sold to a global audience with relative ease.</w:t>
      </w:r>
    </w:p>
    <w:p>
      <w:pPr>
        <w:spacing w:after="160" w:line="276"/>
        <w:jc w:val="both"/>
      </w:pPr>
      <w:r>
        <w:t xml:space="preserve">Performance nevertheless differed across the three companies. Our selected stock, 1Spatial, recorded an average monthly return of 2.1219%, the highest of the three, ahead of Accesso at 1.6946% and Softcat at 0.7863%. The annualised average returns show the same ranking: 1Spatial leads at 25.4633%, followed by Accesso at 20.3346% and Softcat at 9.4354%. Overall, 1Spatial delivered the strongest return performance of the three companies, outperforming both competitors.</w:t>
      </w:r>
    </w:p>
    <w:p>
      <w:pPr>
        <w:spacing w:after="160" w:line="276"/>
        <w:jc w:val="both"/>
      </w:pPr>
      <w:r>
        <w:t xml:space="preserve">Risk refers to the probability that actual results will differ from expected results (CFI Team, 2024). The price charts show that none of the three stocks followed a consistent upward or downward trend; instead, each fluctuated over the period (Figures 7, 8, and 9). Highest and lowest prices alone are therefore not an accurate way to judge return performance, but they remain useful indicators of volatility, since the gap between a stock's high and low captures the extent of price movement over the five-year period. For example, 1Spatial had a high of £71.50 and a low of £20.50, a difference of £51.00, equivalent to a 248.78% range. Accesso showed a wider range of £731.77 (from £915.00 to £183.23), equivalent to 399.37%. This is consistent with the calculated volatility figures: 1Spatial recorded lower monthly and annualised volatility than Accesso, at 10.7418% and 37.2109% respectively, compared with Accesso's 16.9575% and 58.7425%.</w:t>
      </w:r>
    </w:p>
    <w:p>
      <w:pPr>
        <w:spacing w:after="160" w:line="276"/>
        <w:jc w:val="both"/>
      </w:pPr>
      <w:r>
        <w:t xml:space="preserve">By contrast, Softcat demonstrated greater price stability. Although it had the widest absolute price range at £1,077.00 (from £2,114.00 to £1,037.00), this represented the smallest percentage range at 103.86%. As a result, both its monthly and annualised volatility, at 8.1464% and 28.2201%, were lower than those of the other two companies. In short, 1Spatial and Accesso shares were more volatile than Softcat's.</w:t>
      </w:r>
    </w:p>
    <w:p>
      <w:pPr>
        <w:spacing w:after="160" w:line="276"/>
        <w:jc w:val="both"/>
      </w:pPr>
      <w:r>
        <w:t xml:space="preserve">The coefficient of variation (CV) is a relative measure of variability that expresses the size of the standard deviation in relation to the mean (Frost, 2020). It reflects how much risk an investor bears for each unit of return. Here, the CV is 1.46 for 1Spatial, 2.89 for Accesso, and 2.99 for Softcat. Among the three, 1Spatial shows the best risk-return balance, with the lowest CV, meaning investors bear the least risk per unit of return. Softcat has the highest CV and therefore the weakest risk-adjusted performance, requiring investors to bear the most risk per unit of return, while Accesso sits in the middle. From a rational investor's perspective, 1Spatial is the most attractive of the three on this measure.</w:t>
      </w:r>
    </w:p>
    <w:p>
      <w:pPr>
        <w:spacing w:after="160" w:line="276"/>
        <w:jc w:val="both"/>
      </w:pPr>
      <w:r>
        <w:t xml:space="preserve">The beta coefficient measures the sensitivity of a security or portfolio to movements in the overall market (CFI, 2024); it reflects the volatility of a stock's return relative to its market index. Accesso has the highest beta at 2.3 (Figure 11), indicating high volatility relative to the FTSE All-Share Index, driven mainly by its high covariance and variance of 0.3839% and 0.1669%. This is visible in the wider scatter of points around the regression line (Figure 11), and implies that Accesso's return rises by roughly 2.3% for every 1% increase in the market's return — higher potential return, but higher risk. By comparison, 1Spatial and Softcat have beta values of 0.6217 and 0.6416 respectively (Figures 10 and 12), indicating lower volatility relative to the market index, consistent with their lower covariance and variance. Their scatter plots cluster more closely around the regression line, signalling lower investment risk and a closer relationship with market returns than Accesso. Of the three, Accesso carries the highest market risk, though also the highest potential return.</w:t>
      </w:r>
    </w:p>
    <w:p>
      <w:pPr>
        <w:spacing w:after="160" w:line="276"/>
        <w:jc w:val="both"/>
      </w:pPr>
      <w:r>
        <w:t xml:space="preserve">Although Accesso has both the highest monthly and annualised volatility and the highest beta — a consistent picture — beta and total volatility do not always align. This can be seen with 1Spatial and Softcat, whose betas of 0.6217 and 0.6416 are very close, even though 1Spatial's overall volatility is higher than Softcat's. The explanation is that beta measures only systematic (market) risk, which is one component of total risk (The Investopedia Team, 2019). The R² values for the three stocks fall in the range of roughly 5–30%, meaning only 5–30% of the variation in their total returns is explained by market movements, while the remaining 70–95% stems from unsystematic risk. Monthly and annualised volatility therefore capture total risk — systematic and unsystematic combined — rather than market risk alone. So although Softcat has a marginally higher beta (more systematic risk), its lower overall volatility indicates lower unsystematic risk than 1Spatial. Even so, Accesso's combination of the highest beta and the highest total volatility means it carries the highest total risk of the three.</w:t>
      </w:r>
    </w:p>
    <w:p>
      <w:pPr>
        <w:spacing w:after="160" w:line="276"/>
        <w:jc w:val="both"/>
      </w:pPr>
      <w:r>
        <w:t xml:space="preserve">Tracking the value of a £1 investment over the five years from 2019 to 2024 shows clearly different outcomes (Figure 13). 1Spatial delivered the highest ending value at £2.56, demonstrating a strong ability to create shareholder value. Softcat produced a moderate result, ending at £1.32 — stable but with slow appreciation. Accesso performed the weakest, ending at £1.11, the lowest of the three. The 1Spatial line trends upward with relatively few fluctuations and a clear overall improvement, suggesting effective, growth-oriented performance. Accesso's trajectory is noticeably more erratic, reflecting an unstable strategy that produced higher headline returns but carried greater risk. Softcat's line is smooth and stable but rose only gradually to £1.32, signalling a conservative growth profile. Against the FTSE All-Share Index, which rose only modestly from £1.00 to £1.06 over the period, 1Spatial stands out as a strong performer, while Softcat lags; Accesso underperformed expectations, reaching just £1.11 despite its more aggressive strategy.</w:t>
      </w:r>
    </w:p>
    <w:p>
      <w:pPr>
        <w:spacing w:after="160" w:line="276"/>
        <w:jc w:val="both"/>
      </w:pPr>
      <w:r>
        <w:t xml:space="preserve">1Spatial's share price performed strongly over the five-year period. It edged up 1.82%, from £27.50 in 2019 to £28.00 in 2020 — a sign of market uncertainty — before recovering quickly and resuming its upward path. During the early stages of the 2020 pandemic, the price dipped to £21.00 in March 2020, in line with the broader market downturn that affected the software and computer services sector (Zaremba et al., 2021). The company then rebounded markedly in 2021, with the price rising to £47.50, a 69.64% increase, reflecting a strategic shift as 1Spatial secured long-term government contracts and broadened its revenue model (1Spatial, 2025). The price continued to climb to £49.00 in 2022, supported by significant revenue from the Middle Eastern market and demonstrating resilience in volatile conditions (Yahoo Finance, 2025). The 2022–2023 period was one of consolidation, with the price holding steady at around £49.00. Finally, in 2023–2024, 1Spatial reached its five-year peak at £70.50, a 43.88% increase that far outpaced its competitors. This was supported by recurring revenue, which improves earnings visibility and reduces reliance on one-off projects, and by new product launches such as its NG911 solution (1Spatial, 2022). Overall, 1Spatial's price cycle shows a company creating value through recovery from the pandemic, the winning of government contracts, and new product strategies — the kind of progress that investors in the technology sector tend to reward with higher share prices (Milverton &amp; Fabian, 2022).</w:t>
      </w:r>
    </w:p>
    <w:p>
      <w:pPr>
        <w:spacing w:after="160" w:line="276"/>
        <w:jc w:val="both"/>
      </w:pPr>
      <w:r>
        <w:t xml:space="preserve">By contrast, Accesso showed a more consistent upward trend across the five years, with its share price rising steadily from £480.35 in 2019 to £828.00 in 2022 — a 72.37% increase over four years — helped by a two-year strategic partnership with Active Network that offered its Passport eCommerce ticketing suite and expanded Accesso's reach in the ski-resort sector (Accesso Technology, 2022). However, the company then experienced a sharp decline between 2023 and 2024, falling to £534.00, a 55.06% drop. This suggests that rising operational costs, including those for product development, left Accesso exposed when market conditions turned (Accesso Technology Group Plc, 2023).</w:t>
      </w:r>
    </w:p>
    <w:p>
      <w:pPr>
        <w:spacing w:after="160" w:line="276"/>
        <w:jc w:val="both"/>
      </w:pPr>
      <w:r>
        <w:t xml:space="preserve">Meanwhile, Softcat trended upward through the pandemic, rising from £1,152.00 in 2019 to £1,804.00 in 2021 as it benefited from increased demand for IT, particularly cloud services and collaboration tools (Elder, 2021). The share price corrected to £1,184.00 in 2022 but recovered to end at £1,524.00 in 2024. Notably, Softcat was the only one of the three whose price never fell below its 2019 level during the period, demonstrating resilience and the ability to recover from the post-pandemic downturn while maintaining long-term growth potential. Its strong fundamentals and steady strategy supported consistent shareholder value. Taken together, the comparative price analysis shows that 1Spatial outperformed both competitors over the five years, in price growth and on a risk-adjusted basis. Its strong recurring-revenue growth and contract momentum point to scope for further price appreciation, suggesting that its price and returns are likely to rise faster than those of its competitors over the next year (Schroeder et al., 2022).</w:t>
      </w:r>
    </w:p>
    <w:p>
      <w:pPr>
        <w:spacing w:after="160" w:line="276"/>
        <w:jc w:val="both"/>
      </w:pPr>
      <w:r>
        <w:t xml:space="preserve">1Spatial's market capitalisation also strengthened, growing from £2,983,122 (000s) in 2020 to £5,847,021 (000s) in 2024, a 96% increase over five years. This was supported by key strategic contracts with government agencies and the launch of new products such as cloud-based GIS solutions, reflected in the sharp 2023–2024 price increase (1Spatial, n.d.). The company's ability to apply its technology and win high-value contracts suggests a solid foundation for long-term growth, and its current market capitalisation — a five-year peak — should reinforce investor confidence in the technology sector over the coming year.</w:t>
      </w:r>
    </w:p>
    <w:p>
      <w:pPr>
        <w:spacing w:after="160" w:line="276"/>
        <w:jc w:val="both"/>
      </w:pPr>
      <w:r>
        <w:t xml:space="preserve">By contrast, Accesso's market capitalisation rose just 11.86% over five years (from £19,577,125 (000s) in 2020 to £21,898,806 (000s) in 2024), the lowest growth of the three and a sign of the challenges it faces in creating shareholder value. Softcat's market capitalisation grew from £250,534,219 (000s) in 2020 to £324,816,264 (000s) in 2024, a 29.65% increase that reflects resilience despite notable share-price fluctuation.</w:t>
      </w:r>
    </w:p>
    <w:p>
      <w:pPr>
        <w:spacing w:after="160" w:line="276"/>
        <w:jc w:val="both"/>
      </w:pPr>
      <w:r>
        <w:t xml:space="preserve">Despite its volatility, 1Spatial outperformed both Accesso and Softcat, including over the most recent year, and its 96% rise in market capitalisation over five years is the strongest of the three. This trajectory has strengthened investor confidence and points to opportunities for returns in the coming years. 1Spatial led its competitors in market capitalisation from 2020 to 2024, with continuous growth in share price and a peak in 2024 — an outcome that reflects the company's ability to apply its technology and expand through strategic adaptability (1Spatial, n.d.). Accesso, by contrast, recorded the lowest market-cap growth and a sharp decline at the end of the period, while Softcat maintained a stable, moderate market capitalisation.</w:t>
      </w:r>
    </w:p>
    <w:p>
      <w:pPr>
        <w:spacing w:after="160" w:line="276"/>
        <w:jc w:val="both"/>
      </w:pPr>
      <w:r>
        <w:t xml:space="preserve">Given 1Spatial's track record of consistent value creation and steady price growth across the five years, it is a strong candidate for risk-neutral investors. The market-capitalisation data reflects 1Spatial's steady growth and rising share price, contrasting with Accesso's unstable growth and Softcat's more conservative performance. In short, 1Spatial shows clear potential for continued share-price growth over the coming year (1Spatial, n.d.).</w:t>
      </w:r>
    </w:p>
    <w:p>
      <w:pPr>
        <w:pStyle w:val="Heading2"/>
      </w:pPr>
      <w:r>
        <w:t xml:space="preserve">2.2 Historical Financial Ratio Analysis</w:t>
      </w:r>
    </w:p>
    <w:p>
      <w:pPr>
        <w:spacing w:after="160" w:line="276"/>
        <w:jc w:val="both"/>
      </w:pPr>
      <w:r>
        <w:t xml:space="preserve">This section compares the price-to-earnings (P/E) ratios and then the return on equity (ROE) ratios, using DuPont analysis, for 1Spatial (SPA) and its two main competitors, Accesso Technology Group (ACSO) and Softcat (SCT), over 2020 to 2024. The aim is to value each company's stock relative to its own history, to peers in the same industry, and to the wider market (via the P/E ratio), and to assess how efficiently each company used shareholders' equity to generate income and growth (via ROE) (Fernando, 2025).</w:t>
      </w:r>
    </w:p>
    <w:p>
      <w:pPr>
        <w:spacing w:after="160" w:line="276"/>
        <w:jc w:val="both"/>
      </w:pPr>
      <w:r>
        <w:t xml:space="preserve">For 1Spatial, the P/E ratio fluctuated sharply over the five years. It was negative in years when the firm reported losses — −19.29 in 2020 and −28.00 in 2021 — then spiked to 227.5 in 2022 before easing to 50.5 in 2023 and 47.95 in 2024. The extremely high P/E in 2022 arose because earnings per share (EPS) had been negative beforehand (−£1.40 in 2020 and −£1.00 in 2021), so even a small positive profit produced a very large ratio. When EPS is negative or close to zero, the P/E becomes extremely large and loses its usefulness as a valuation signal. As a result, 1Spatial's early P/E ratios do not give a reliable view of value. Once the company reported small positive EPS from 2022 onwards, the P/E began to resemble a more normal growth valuation, though it remained sensitive, since small changes in EPS produce large swings in the ratio. This is because 1Spatial's EPS base is small relative to its share price, so any modest change in earnings translates into a large percentage change in the P/E. As EPS rose to £1.00 in 2023 and £1.10 in 2024, the P/E settled into a more stable range of around 40–50, indicating that the market prices in high growth potential. Even so, the valuation remains uncertain, because slight changes in EPS could still cause large movements in the ratio.</w:t>
      </w:r>
    </w:p>
    <w:p>
      <w:pPr>
        <w:spacing w:after="160" w:line="276"/>
        <w:jc w:val="both"/>
      </w:pPr>
      <w:r>
        <w:t xml:space="preserve">Accesso, by contrast, shows a cyclical pattern. Its P/E moved from −7.24 in 2020 to 41.82 in 2022, then moderated to 30.51 in 2024. As theme parks and attractions reopened, EPS recovered strongly — from −£142.70 in 2019 to £38.80 in 2021 — which pushed the P/E above 40 in 2022.</w:t>
      </w:r>
    </w:p>
    <w:p>
      <w:pPr>
        <w:spacing w:after="160" w:line="276"/>
        <w:jc w:val="both"/>
      </w:pPr>
      <w:r>
        <w:t xml:space="preserve">Softcat displays a more stable P/E, easing from 33.01 in 2020 to 27.24 in 2024. This stability suggests the market views Softcat as a mature, low-volatility company, given the only minor movement in its ratio. Overall, Softcat performs best on P/E and EPS, being the most stable and least volatile: its P/E stability points to consistent earnings strength, Accesso's reflects recovering profitability, and 1Spatial's signals investor expectations of future growth.</w:t>
      </w:r>
    </w:p>
    <w:p>
      <w:pPr>
        <w:spacing w:after="160" w:line="276"/>
        <w:jc w:val="both"/>
      </w:pPr>
      <w:r>
        <w:t xml:space="preserve">Turning to ROE through the DuPont framework (net profit margin × asset turnover × equity multiplier), the three firms again separate into distinct operational profiles. 1Spatial's ROE was negative in 2020 and 2021, at −0.1003 and −0.0722, driven mainly by negative net profit margins of −0.0635 and −0.0457. The company reported an operating loss of £156,000 and a net loss of £200,000 for the half-year ended 31 July 2021 (Iq, 2021), which helps explain the negative ROE in those years. Its other two DuPont components remained steady, indicating that operations were financed with modest leverage. A clear turnaround came from 2022, when ROE rose to 0.0115, helped by a slight improvement in net profit margin (0.0065) and stable asset efficiency. The recovery continued in 2023 and 2024 as the net profit margin climbed above 3% and asset turnover edged from 0.846 to 0.8383. Unlike many recovering firms, 1Spatial did not lift its equity multiplier to boost returns; in fact, it fell from 2.3291 to 2.1057 between 2022 and 2024. This shows that 1Spatial's ROE was driven by genuine profitability rather than by aggressive borrowing.</w:t>
      </w:r>
    </w:p>
    <w:p>
      <w:pPr>
        <w:spacing w:after="160" w:line="276"/>
        <w:jc w:val="both"/>
      </w:pPr>
      <w:r>
        <w:t xml:space="preserve">Accesso's ROE reflects a reversal followed by stabilisation after the COVID-19 pandemic. ROE was −0.2142 in 2020 as its net profit margin collapsed to −0.5322, the result of lockdowns that hit theme parks and attractions (Iq, 2020). With tours and attractions closed, demand fell sharply, producing the negative result.</w:t>
      </w:r>
    </w:p>
    <w:p>
      <w:pPr>
        <w:spacing w:after="160" w:line="276"/>
        <w:jc w:val="both"/>
      </w:pPr>
      <w:r>
        <w:t xml:space="preserve">Softcat stands out as the most stable and consistent performer. It maintained an ROE of around 0.50 from 2020 to 2022, supported by a solid net profit margin that rose from 0.0702 to 0.1024 over those three years. Even as ROE eased slightly to 0.4844 and then 0.4333, the figures show that Softcat sustained its returns through operational strength rather than additional borrowing.</w:t>
      </w:r>
    </w:p>
    <w:p>
      <w:pPr>
        <w:spacing w:after="160" w:line="276"/>
        <w:jc w:val="both"/>
      </w:pPr>
      <w:r>
        <w:t xml:space="preserve">In summary, 1Spatial shows gradual ROE improvement built on rising profit margins; Accesso shows a moderate profitability recovery after the pandemic, with steady efficiency gains as it recovered lockdown losses; and Softcat maintains a stable ROE underpinned by a strong profit margin and efficient asset use.</w:t>
      </w:r>
    </w:p>
    <w:p>
      <w:r>
        <w:br w:type="page"/>
      </w:r>
    </w:p>
    <w:p>
      <w:pPr>
        <w:pStyle w:val="Heading1"/>
      </w:pPr>
      <w:r>
        <w:t xml:space="preserve">3.0 Investment Decision</w:t>
      </w:r>
    </w:p>
    <w:p>
      <w:pPr>
        <w:spacing w:after="160" w:line="276"/>
        <w:jc w:val="both"/>
      </w:pPr>
      <w:r>
        <w:t xml:space="preserve">As outlined in the introduction, our team prioritises risk-neutral opportunities with strong return potential, regardless of the prevailing market stage. Over the past five years, 1Spatial has shown a relatively moderate level of monthly and annualised volatility, with a beta of 0.6217 that indicates moderate sensitivity to market fluctuations compared with its competitors. Across the period, the share price improved steadily — particularly between 2020 and 2021 — largely because 1Spatial's products serve structural, long-term demand. Its geospatial data management offering meets the critical need for reliable spatial data among utilities and infrastructure operators, fuelling demand for its services in industries that depend on accurate spatial information (Birdi, 2024).</w:t>
      </w:r>
    </w:p>
    <w:p>
      <w:pPr>
        <w:spacing w:after="160" w:line="276"/>
        <w:jc w:val="both"/>
      </w:pPr>
      <w:r>
        <w:t xml:space="preserve">This trend was reinforced after 2021 as 1Spatial expanded its product range and entered new markets, including pilot projects for NUAR at City Hall and at the HS2 site at Euston Station (1Spatial, n.d.). These initiatives aim to build data platforms for managing spatial assets and underpinning national infrastructure over the long term. As well as diversifying and broadening 1Spatial's portfolio, they have helped lower the stock's volatility, since such projects involve long-term commitments that provide stable revenue. Together, these factors contribute to 1Spatial's low-risk profile.</w:t>
      </w:r>
    </w:p>
    <w:p>
      <w:pPr>
        <w:spacing w:after="160" w:line="276"/>
        <w:jc w:val="both"/>
      </w:pPr>
      <w:r>
        <w:t xml:space="preserve">Despite its low beta, 1Spatial's financial fundamentals are strong. EPS rose from −£1.40 in 2020 to £1.10 in 2024, a 178.57% improvement. Total assets reached £38,554,000 in 2024, supported by a steadily rising asset turnover ratio (from 0.8287 to 0.8383). ROE climbed sharply from −10.03% in 2020 to 6.45% in 2024, driven largely by strategic expansion into high-demand markets such as NUAR and HS2. The 2021–2022 period saw the largest single ROE improvement of the five years (from −7.22% to 1.15%), reflecting increased investment in long-term projects designed to generate steady income and improve profitability. 1Spatial also improved asset turnover through continuous innovation in geospatial data management, particularly in LMDM software and cloud solutions. Combined with growing demand for geospatial data, these innovations supported better asset turnover and operational efficiency, higher profitability, and a stronger ROE. Innovation and strategic expansion therefore provide a solid foundation for 1Spatial's ROE going forward.</w:t>
      </w:r>
    </w:p>
    <w:p>
      <w:pPr>
        <w:spacing w:after="160" w:line="276"/>
        <w:jc w:val="both"/>
      </w:pPr>
      <w:r>
        <w:t xml:space="preserve">Because we believe in 1Spatial's long-term value-creation potential, we apply a more active investment style, treating short-term market overreactions in valuation as opportunities to acquire an undervalued asset — an approach well suited to the company's current situation.</w:t>
      </w:r>
    </w:p>
    <w:p>
      <w:pPr>
        <w:spacing w:after="160" w:line="276"/>
        <w:jc w:val="both"/>
      </w:pPr>
      <w:r>
        <w:t xml:space="preserve">The substantial rise in 1Spatial's P/E ratio from 2021 to 2022 was driven mainly by improved profitability and growing market optimism about the business. In 2022 the company was profitable, posting net profit of £1.77 million on revenue of £16.71 million, a near-9.87% increase on the prior year. These results strengthened investor confidence in 1Spatial's shift to a SaaS-based model and contributed to the rise in its P/E ratio.</w:t>
      </w:r>
    </w:p>
    <w:p>
      <w:pPr>
        <w:spacing w:after="160" w:line="276"/>
        <w:jc w:val="both"/>
      </w:pPr>
      <w:r>
        <w:t xml:space="preserve">In 2024, 1Spatial's P/E is high relative to Accesso (30.5) and Softcat (27.2). However, given the company's focus on technology investment for its SaaS transition and its position in key markets, the share price is likely to continue trading below its fundamental value. We believe the current market price reflects short-term concerns rather than the company's underlying fundamentals. Investors who buy at current prices and hold while the strategy plays out should therefore be rewarded with long-term gains once the market fully recognises its growth prospects.</w:t>
      </w:r>
    </w:p>
    <w:p>
      <w:pPr>
        <w:spacing w:after="160" w:line="276"/>
        <w:jc w:val="both"/>
      </w:pPr>
      <w:r>
        <w:t xml:space="preserve">For family members who already hold 1Spatial stock, the appropriate course of action is to maintain their positions rather than sell at undervalued levels. Demand in the geospatial data and SaaS sectors continues to grow, and the company's shift toward a recurring-revenue model provides additional downside protection. Although near-term returns may be moderate, 1Spatial's emphasis on expanding its SaaS offerings and increasing market penetration positions it well for future growth and enhanced shareholder value.</w:t>
      </w:r>
    </w:p>
    <w:p>
      <w:pPr>
        <w:spacing w:after="160" w:line="276"/>
        <w:jc w:val="both"/>
      </w:pPr>
      <w:r>
        <w:t xml:space="preserve">Recent share-price movements may reflect wider market concerns about rising financing costs, but the SaaS migration and a strong, diverse product suite — including 1Streetworks and NG9-1-1 — should help cushion these broader risks. The SaaS migration also underpins the longer-term sustainability of the business (1Spatial, 2025). On balance, while short-term risks remain, 1Spatial's solid fundamentals, strategic focus, and current undervaluation make it a compelling opportunity for risk-neutral value investors.</w:t>
      </w:r>
    </w:p>
    <w:p>
      <w:r>
        <w:br w:type="page"/>
      </w:r>
    </w:p>
    <w:p>
      <w:pPr>
        <w:pStyle w:val="Heading1"/>
      </w:pPr>
      <w:r>
        <w:t xml:space="preserve">4.0 Conclusion</w:t>
      </w:r>
    </w:p>
    <w:p>
      <w:pPr>
        <w:spacing w:after="160" w:line="276"/>
        <w:jc w:val="both"/>
      </w:pPr>
      <w:r>
        <w:t xml:space="preserve">In conclusion, this investment analysis strengthened our ability to apply finance theory to real companies by interpreting both quantitative and qualitative data. In evaluating 1Spatial, Accesso Technology Group, and Softcat, we assessed key metrics — returns, volatility, beta, the coefficient of variation, and valuation ratios — to understand the risk-return trade-off.</w:t>
      </w:r>
    </w:p>
    <w:p>
      <w:pPr>
        <w:spacing w:after="160" w:line="276"/>
        <w:jc w:val="both"/>
      </w:pPr>
      <w:r>
        <w:t xml:space="preserve">Although 1Spatial did not record the highest returns in every measure, it offered the best risk-adjusted profile, supported by strong fundamentals and solid growth potential. Accesso delivered revenue gains but with higher volatility and a higher beta, indicating greater market sensitivity. Softcat showed stability but the lowest returns, reflecting its conservative growth approach.</w:t>
      </w:r>
    </w:p>
    <w:p>
      <w:pPr>
        <w:spacing w:after="160" w:line="276"/>
        <w:jc w:val="both"/>
      </w:pPr>
      <w:r>
        <w:t xml:space="preserve">Finally, qualitative factors — management strategy, ESG initiatives, and market positioning — added further depth to our analysis. Given our risk-neutral stance, we recommend investing primarily in 1Spatial, with a smaller allocation to Softcat for stability, and advise against a heavy allocation to Accesso owing to its higher risk.</w:t>
      </w:r>
    </w:p>
    <w:p>
      <w:r>
        <w:br w:type="page"/>
      </w:r>
    </w:p>
    <w:p>
      <w:pPr>
        <w:pStyle w:val="Heading1"/>
      </w:pPr>
      <w:r>
        <w:t xml:space="preserve">Appendices, Figures, and References</w:t>
      </w:r>
    </w:p>
    <w:p>
      <w:pPr>
        <w:spacing w:after="160"/>
      </w:pPr>
      <w:r>
        <w:rPr>
          <w:i/>
          <w:iCs/>
          <w:color w:val="555555"/>
        </w:rPr>
        <w:t xml:space="preserve">Note: This rebuilt document contains the polished report text only. Re-insert your original figures (Figures 1–13), the Adjusted EBITDA definition box, the Yahoo Finance screenshots, the full reference list, and the AI Acknowledgement page from your working file in the positions referenced above. Placeholders below mark where the main figure groups belong.</w:t>
      </w:r>
    </w:p>
    <w:p>
      <w:pPr>
        <w:spacing w:after="160" w:before="160"/>
        <w:jc w:val="center"/>
      </w:pPr>
      <w:r>
        <w:rPr>
          <w:b/>
          <w:bCs/>
          <w:i/>
          <w:iCs/>
          <w:color w:val="888888"/>
        </w:rPr>
        <w:t xml:space="preserve">[ INSERT FIGURES 1–6 (Introduction: revenue, EBITDA, intangibles, staff costs, emissions) HERE ]</w:t>
      </w:r>
    </w:p>
    <w:p>
      <w:pPr>
        <w:spacing w:after="160" w:before="160"/>
        <w:jc w:val="center"/>
      </w:pPr>
      <w:r>
        <w:rPr>
          <w:b/>
          <w:bCs/>
          <w:i/>
          <w:iCs/>
          <w:color w:val="888888"/>
        </w:rPr>
        <w:t xml:space="preserve">[ INSERT FIGURES 7–9 (Yahoo Finance summaries: SPA, ACSO, SCT) HERE ]</w:t>
      </w:r>
    </w:p>
    <w:p>
      <w:pPr>
        <w:spacing w:after="160" w:before="160"/>
        <w:jc w:val="center"/>
      </w:pPr>
      <w:r>
        <w:rPr>
          <w:b/>
          <w:bCs/>
          <w:i/>
          <w:iCs/>
          <w:color w:val="888888"/>
        </w:rPr>
        <w:t xml:space="preserve">[ INSERT FIGURES 10–12 (Beta regression scatter plots) HERE ]</w:t>
      </w:r>
    </w:p>
    <w:p>
      <w:pPr>
        <w:spacing w:after="160" w:before="160"/>
        <w:jc w:val="center"/>
      </w:pPr>
      <w:r>
        <w:rPr>
          <w:b/>
          <w:bCs/>
          <w:i/>
          <w:iCs/>
          <w:color w:val="888888"/>
        </w:rPr>
        <w:t xml:space="preserve">[ INSERT FIGURE 13 (Investment value of £1 over 5 years) HERE ]</w:t>
      </w:r>
    </w:p>
    <w:p>
      <w:pPr>
        <w:spacing w:after="160" w:before="160"/>
        <w:jc w:val="center"/>
      </w:pPr>
      <w:r>
        <w:rPr>
          <w:b/>
          <w:bCs/>
          <w:i/>
          <w:iCs/>
          <w:color w:val="888888"/>
        </w:rPr>
        <w:t xml:space="preserve">[ INSERT FULL REFERENCE LIST + AI ACKNOWLEDGEMENT HERE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2026-05-28T08:30:03.321Z</dcterms:created>
  <dcterms:modified xsi:type="dcterms:W3CDTF">2026-05-28T08:30:03.321Z</dcterms:modified>
</cp:coreProperties>
</file>

<file path=docProps/custom.xml><?xml version="1.0" encoding="utf-8"?>
<Properties xmlns="http://schemas.openxmlformats.org/officeDocument/2006/custom-properties" xmlns:vt="http://schemas.openxmlformats.org/officeDocument/2006/docPropsVTypes"/>
</file>