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1A18"/>
          <w:sz w:val="30"/>
          <w:szCs w:val="30"/>
        </w:rPr>
        <w:t xml:space="preserve">Course map — Bachelor of Business and Commerce (B2026)</w:t>
      </w:r>
    </w:p>
    <w:p>
      <w:pPr>
        <w:spacing w:after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Double major: Banking &amp; Financial Management + Business Analytics  |  Monash University Malaysia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Includes a Year 2 Sem 2 intercampus exchange (Monash Clayton, Australia) and a Year 3 Sem 1 overseas exchange (UK partner university).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90"/>
        <w:gridCol w:w="2790"/>
        <w:gridCol w:w="2790"/>
        <w:gridCol w:w="2790"/>
      </w:tblGrid>
      <w:tr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3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Year 1 · Sem 1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Sunway, Malaysia</w:t>
            </w:r>
          </w:p>
          <w:p>
            <w:r>
              <w:rPr>
                <w:rFonts w:ascii="Arial" w:cs="Arial" w:eastAsia="Arial" w:hAnsi="Arial"/>
                <w:i/>
                <w:iCs/>
                <w:color w:val="993C1D"/>
                <w:sz w:val="15"/>
                <w:szCs w:val="15"/>
              </w:rPr>
              <w:t xml:space="preserve">Completed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CE9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ACW1020</w:t>
            </w:r>
          </w:p>
          <w:p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Accounting in business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CE9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ECW1101</w:t>
            </w:r>
          </w:p>
          <w:p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Introductory microeconomics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CE9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ETW1001</w:t>
            </w:r>
          </w:p>
          <w:p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Introduction to statistical analysis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CE9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MGW1010</w:t>
            </w:r>
          </w:p>
          <w:p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Introduction to management</w:t>
            </w:r>
          </w:p>
        </w:tc>
      </w:tr>
      <w:tr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3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Year 1 · Sem 2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Sunway, Malaysia</w:t>
            </w:r>
          </w:p>
          <w:p>
            <w:r>
              <w:rPr>
                <w:rFonts w:ascii="Arial" w:cs="Arial" w:eastAsia="Arial" w:hAnsi="Arial"/>
                <w:i/>
                <w:iCs/>
                <w:color w:val="993C1D"/>
                <w:sz w:val="15"/>
                <w:szCs w:val="15"/>
              </w:rPr>
              <w:t xml:space="preserve">Completed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CE9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BFW1001</w:t>
            </w:r>
          </w:p>
          <w:p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Foundations of finance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CE9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BTW1042</w:t>
            </w:r>
          </w:p>
          <w:p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Business law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CE9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MKW1120</w:t>
            </w:r>
          </w:p>
          <w:p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Marketing fundamentals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FEDE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ETM1005</w:t>
            </w:r>
          </w:p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Programming for business applications</w:t>
            </w:r>
          </w:p>
        </w:tc>
      </w:tr>
      <w:tr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3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Year 2 · Sem 1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Sunway, Malaysia</w:t>
            </w:r>
          </w:p>
          <w:p>
            <w:r>
              <w:rPr>
                <w:rFonts w:ascii="Arial" w:cs="Arial" w:eastAsia="Arial" w:hAnsi="Arial"/>
                <w:i/>
                <w:iCs/>
                <w:color w:val="993C1D"/>
                <w:sz w:val="15"/>
                <w:szCs w:val="15"/>
              </w:rPr>
              <w:t xml:space="preserve">Prerequisite gateways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AF0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BFW2140</w:t>
            </w:r>
          </w:p>
          <w:p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Corporate finance 1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AF0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BFW2401</w:t>
            </w:r>
          </w:p>
          <w:p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Commercial banking and finance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DEA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ETW2001</w:t>
            </w:r>
          </w:p>
          <w:p>
            <w:r>
              <w:rPr>
                <w:rFonts w:ascii="Arial" w:cs="Arial" w:eastAsia="Arial" w:hAnsi="Arial"/>
                <w:color w:val="3C3489"/>
                <w:sz w:val="17"/>
                <w:szCs w:val="17"/>
              </w:rPr>
              <w:t xml:space="preserve">Foundations of data analysis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DEA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ETM2100</w:t>
            </w:r>
          </w:p>
          <w:p>
            <w:r>
              <w:rPr>
                <w:rFonts w:ascii="Arial" w:cs="Arial" w:eastAsia="Arial" w:hAnsi="Arial"/>
                <w:color w:val="3C3489"/>
                <w:sz w:val="17"/>
                <w:szCs w:val="17"/>
              </w:rPr>
              <w:t xml:space="preserve">Principles of statistical inference</w:t>
            </w:r>
          </w:p>
        </w:tc>
      </w:tr>
      <w:tr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3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Year 2 · Sem 2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Monash Clayton, Australia</w:t>
            </w:r>
          </w:p>
          <w:p>
            <w:r>
              <w:rPr>
                <w:rFonts w:ascii="Arial" w:cs="Arial" w:eastAsia="Arial" w:hAnsi="Arial"/>
                <w:i/>
                <w:iCs/>
                <w:color w:val="993C1D"/>
                <w:sz w:val="15"/>
                <w:szCs w:val="15"/>
              </w:rPr>
              <w:t xml:space="preserve">Intercampus exchange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AF0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BFW2751</w:t>
            </w:r>
          </w:p>
          <w:p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Derivatives 1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AF0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BFW3121</w:t>
            </w:r>
          </w:p>
          <w:p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Investments and portfolio management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DEA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ETW2500</w:t>
            </w:r>
          </w:p>
          <w:p>
            <w:r>
              <w:rPr>
                <w:rFonts w:ascii="Arial" w:cs="Arial" w:eastAsia="Arial" w:hAnsi="Arial"/>
                <w:color w:val="3C3489"/>
                <w:sz w:val="17"/>
                <w:szCs w:val="17"/>
              </w:rPr>
              <w:t xml:space="preserve">Unsupervised learning for business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DEA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ETW2440</w:t>
            </w:r>
          </w:p>
          <w:p>
            <w:r>
              <w:rPr>
                <w:rFonts w:ascii="Arial" w:cs="Arial" w:eastAsia="Arial" w:hAnsi="Arial"/>
                <w:color w:val="3C3489"/>
                <w:sz w:val="17"/>
                <w:szCs w:val="17"/>
              </w:rPr>
              <w:t xml:space="preserve">Business modelling and analytics methods</w:t>
            </w:r>
          </w:p>
        </w:tc>
      </w:tr>
      <w:tr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3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Year 3 · Sem 1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UK partner university</w:t>
            </w:r>
          </w:p>
          <w:p>
            <w:r>
              <w:rPr>
                <w:rFonts w:ascii="Arial" w:cs="Arial" w:eastAsia="Arial" w:hAnsi="Arial"/>
                <w:i/>
                <w:iCs/>
                <w:color w:val="993C1D"/>
                <w:sz w:val="15"/>
                <w:szCs w:val="15"/>
              </w:rPr>
              <w:t xml:space="preserve">Overseas exchange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AF0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BFW3841</w:t>
            </w:r>
          </w:p>
          <w:p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Credit analysis and lending management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AF0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BFM3140</w:t>
            </w:r>
          </w:p>
          <w:p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Corporate valuation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DEA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ETW3482</w:t>
            </w:r>
          </w:p>
          <w:p>
            <w:r>
              <w:rPr>
                <w:rFonts w:ascii="Arial" w:cs="Arial" w:eastAsia="Arial" w:hAnsi="Arial"/>
                <w:color w:val="3C3489"/>
                <w:sz w:val="17"/>
                <w:szCs w:val="17"/>
              </w:rPr>
              <w:t xml:space="preserve">Data mining and predictive modelling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FEDE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—</w:t>
            </w:r>
          </w:p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Free elective (choose at host)</w:t>
            </w:r>
          </w:p>
        </w:tc>
      </w:tr>
      <w:tr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3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Year 3 · Sem 2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Sunway, Malaysia</w:t>
            </w:r>
          </w:p>
          <w:p>
            <w:r>
              <w:rPr>
                <w:rFonts w:ascii="Arial" w:cs="Arial" w:eastAsia="Arial" w:hAnsi="Arial"/>
                <w:i/>
                <w:iCs/>
                <w:color w:val="993C1D"/>
                <w:sz w:val="15"/>
                <w:szCs w:val="15"/>
              </w:rPr>
              <w:t xml:space="preserve">Final semester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AF0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ETW3481</w:t>
            </w:r>
          </w:p>
          <w:p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Financial modelling and analytics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DEA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ETM3800</w:t>
            </w:r>
          </w:p>
          <w:p>
            <w:r>
              <w:rPr>
                <w:rFonts w:ascii="Arial" w:cs="Arial" w:eastAsia="Arial" w:hAnsi="Arial"/>
                <w:color w:val="3C3489"/>
                <w:sz w:val="17"/>
                <w:szCs w:val="17"/>
              </w:rPr>
              <w:t xml:space="preserve">Text analytics for business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DEA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ETW3483</w:t>
            </w:r>
          </w:p>
          <w:p>
            <w:r>
              <w:rPr>
                <w:rFonts w:ascii="Arial" w:cs="Arial" w:eastAsia="Arial" w:hAnsi="Arial"/>
                <w:color w:val="3C3489"/>
                <w:sz w:val="17"/>
                <w:szCs w:val="17"/>
              </w:rPr>
              <w:t xml:space="preserve">Applied analytics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BEF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BEW3555</w:t>
            </w:r>
          </w:p>
          <w:p>
            <w:r>
              <w:rPr>
                <w:rFonts w:ascii="Arial" w:cs="Arial" w:eastAsia="Arial" w:hAnsi="Arial"/>
                <w:color w:val="854F0B"/>
                <w:sz w:val="17"/>
                <w:szCs w:val="17"/>
              </w:rPr>
              <w:t xml:space="preserve">Integrative business practices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0"/>
          <w:szCs w:val="20"/>
        </w:rPr>
        <w:t xml:space="preserve">Legend</w:t>
      </w:r>
    </w:p>
    <w:p>
      <w:pPr>
        <w:spacing w:after="60"/>
      </w:pPr>
      <w:r>
        <w:rPr>
          <w:sz w:val="18"/>
          <w:szCs w:val="18"/>
          <w:shd w:fill="DCE9F7" w:val="clear"/>
        </w:rPr>
        <w:t xml:space="preserve">   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  Core studies (Part A)</w:t>
      </w:r>
    </w:p>
    <w:p>
      <w:pPr>
        <w:spacing w:after="60"/>
      </w:pPr>
      <w:r>
        <w:rPr>
          <w:sz w:val="18"/>
          <w:szCs w:val="18"/>
          <w:shd w:fill="DAF0E7" w:val="clear"/>
        </w:rPr>
        <w:t xml:space="preserve">   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  Banking &amp; Financial Management major (Part B)</w:t>
      </w:r>
    </w:p>
    <w:p>
      <w:pPr>
        <w:spacing w:after="60"/>
      </w:pPr>
      <w:r>
        <w:rPr>
          <w:sz w:val="18"/>
          <w:szCs w:val="18"/>
          <w:shd w:fill="EDEAFB" w:val="clear"/>
        </w:rPr>
        <w:t xml:space="preserve">   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  Business Analytics major (Part D, 2nd major)</w:t>
      </w:r>
    </w:p>
    <w:p>
      <w:pPr>
        <w:spacing w:after="60"/>
      </w:pPr>
      <w:r>
        <w:rPr>
          <w:sz w:val="18"/>
          <w:szCs w:val="18"/>
          <w:shd w:fill="FBEFD8" w:val="clear"/>
        </w:rPr>
        <w:t xml:space="preserve">   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  Capstone (Part C)</w:t>
      </w:r>
    </w:p>
    <w:p>
      <w:pPr>
        <w:spacing w:after="60"/>
      </w:pPr>
      <w:r>
        <w:rPr>
          <w:sz w:val="18"/>
          <w:szCs w:val="18"/>
          <w:shd w:fill="EFEDE6" w:val="clear"/>
        </w:rPr>
        <w:t xml:space="preserve">   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  Free elective (Part D)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How the exchange shapes this plan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2C2A"/>
          <w:sz w:val="19"/>
          <w:szCs w:val="19"/>
        </w:rPr>
        <w:t xml:space="preserve">Gateways stay home (Year 2 Sem 1). </w:t>
      </w:r>
      <w:r>
        <w:rPr>
          <w:rFonts w:ascii="Arial" w:cs="Arial" w:eastAsia="Arial" w:hAnsi="Arial"/>
          <w:color w:val="2C2C2A"/>
          <w:sz w:val="19"/>
          <w:szCs w:val="19"/>
        </w:rPr>
        <w:t xml:space="preserve">BFW2140, BFW2401, ETW2001 and ETM2100 are the prerequisites that unlock almost everything later, so they are done at Sunway before you leave. This keeps every downstream unit available on exchange.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2C2A"/>
          <w:sz w:val="19"/>
          <w:szCs w:val="19"/>
        </w:rPr>
        <w:t xml:space="preserve">Clayton, Australia (Year 2 Sem 2). </w:t>
      </w:r>
      <w:r>
        <w:rPr>
          <w:rFonts w:ascii="Arial" w:cs="Arial" w:eastAsia="Arial" w:hAnsi="Arial"/>
          <w:color w:val="2C2C2A"/>
          <w:sz w:val="19"/>
          <w:szCs w:val="19"/>
        </w:rPr>
        <w:t xml:space="preserve">As a Monash campus, Clayton offers direct-equivalent units, so credit transfers cleanly. The four units here have their prerequisites cleared in Year 2 Sem 1.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2C2A"/>
          <w:sz w:val="19"/>
          <w:szCs w:val="19"/>
        </w:rPr>
        <w:t xml:space="preserve">UK partner (Year 3 Sem 1). </w:t>
      </w:r>
      <w:r>
        <w:rPr>
          <w:rFonts w:ascii="Arial" w:cs="Arial" w:eastAsia="Arial" w:hAnsi="Arial"/>
          <w:color w:val="2C2C2A"/>
          <w:sz w:val="19"/>
          <w:szCs w:val="19"/>
        </w:rPr>
        <w:t xml:space="preserve">Partner-university credit is granted by equivalency assessment, so this semester holds the most transferable units: two finance units (Corporate valuation, Credit analysis), one general data-science unit (Data mining), and your free elective — the single most flexible slot to credit abroad. Malaysia-specific units (ETW3481, the capstone) are kept at home.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Action checklist before you go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2C2C2A"/>
          <w:sz w:val="19"/>
          <w:szCs w:val="19"/>
        </w:rPr>
        <w:t xml:space="preserve">Get unit equivalency pre-approved. </w:t>
      </w:r>
      <w:r>
        <w:rPr>
          <w:rFonts w:ascii="Arial" w:cs="Arial" w:eastAsia="Arial" w:hAnsi="Arial"/>
          <w:color w:val="2C2C2A"/>
          <w:sz w:val="19"/>
          <w:szCs w:val="19"/>
        </w:rPr>
        <w:t xml:space="preserve">Before the UK semester, have the faculty approve which host units map to BFW3841, BFM3140 and ETW3482. Partner units must share ~80% overlap for core/major credit.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2C2C2A"/>
          <w:sz w:val="19"/>
          <w:szCs w:val="19"/>
        </w:rPr>
        <w:t xml:space="preserve">Confirm Clayton offerings. </w:t>
      </w:r>
      <w:r>
        <w:rPr>
          <w:rFonts w:ascii="Arial" w:cs="Arial" w:eastAsia="Arial" w:hAnsi="Arial"/>
          <w:color w:val="2C2C2A"/>
          <w:sz w:val="19"/>
          <w:szCs w:val="19"/>
        </w:rPr>
        <w:t xml:space="preserve">Check each Year 2 Sem 2 unit is actually offered at Clayton that semester and note any code differences (the faculty maps these).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2C2C2A"/>
          <w:sz w:val="19"/>
          <w:szCs w:val="19"/>
        </w:rPr>
        <w:t xml:space="preserve">Apply early. </w:t>
      </w:r>
      <w:r>
        <w:rPr>
          <w:rFonts w:ascii="Arial" w:cs="Arial" w:eastAsia="Arial" w:hAnsi="Arial"/>
          <w:color w:val="2C2C2A"/>
          <w:sz w:val="19"/>
          <w:szCs w:val="19"/>
        </w:rPr>
        <w:t xml:space="preserve">Exchange and intercampus applications typically open around two semesters ahead and have a minimum GPA requirement — plan from Year 1 Sem 2 onward.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2C2C2A"/>
          <w:sz w:val="19"/>
          <w:szCs w:val="19"/>
        </w:rPr>
        <w:t xml:space="preserve">Watch the degree rules. </w:t>
      </w:r>
      <w:r>
        <w:rPr>
          <w:rFonts w:ascii="Arial" w:cs="Arial" w:eastAsia="Arial" w:hAnsi="Arial"/>
          <w:color w:val="2C2C2A"/>
          <w:sz w:val="19"/>
          <w:szCs w:val="19"/>
        </w:rPr>
        <w:t xml:space="preserve">You will finish with 8 Level-1 units (cap is 10) and eight Level-3 units (minimum is six) — both satisfied. Confirm your single free elective doesn't add a ninth Level-1 unit.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2C2C2A"/>
          <w:sz w:val="19"/>
          <w:szCs w:val="19"/>
        </w:rPr>
        <w:t xml:space="preserve">Capstone choice. </w:t>
      </w:r>
      <w:r>
        <w:rPr>
          <w:rFonts w:ascii="Arial" w:cs="Arial" w:eastAsia="Arial" w:hAnsi="Arial"/>
          <w:color w:val="2C2C2A"/>
          <w:sz w:val="19"/>
          <w:szCs w:val="19"/>
        </w:rPr>
        <w:t xml:space="preserve">BEW3555 is shown here; alternatives are BEW3001, BEW3102, BEW3110 (work experience / internship) or MKM3202. Pick during Year 2.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Reference</w:t>
      </w:r>
    </w:p>
    <w:p>
      <w:pPr>
        <w:spacing w:after="8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Monash Malaysia course map planning guide (B2026): </w:t>
      </w:r>
      <w:hyperlink w:history="1" r:id="rIdi2fkmibmy1kwbvnt81n2i">
        <w:r>
          <w:rPr>
            <w:rFonts w:ascii="Arial" w:cs="Arial" w:eastAsia="Arial" w:hAnsi="Arial"/>
            <w:color w:val="185FA5"/>
            <w:sz w:val="19"/>
            <w:szCs w:val="19"/>
            <w:u w:val="single"/>
          </w:rPr>
          <w:t xml:space="preserve">monash.edu.my/business/current/course-map-planning-guide/b2026</w:t>
        </w:r>
      </w:hyperlink>
    </w:p>
    <w:p>
      <w:pPr>
        <w:spacing w:after="8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Always verify current unit codes, prerequisites and offerings against the live handbook (</w:t>
      </w:r>
      <w:hyperlink w:history="1" r:id="rIdy8mwug9a0amhroiibaqmd">
        <w:r>
          <w:rPr>
            <w:rFonts w:ascii="Arial" w:cs="Arial" w:eastAsia="Arial" w:hAnsi="Arial"/>
            <w:color w:val="185FA5"/>
            <w:sz w:val="19"/>
            <w:szCs w:val="19"/>
            <w:u w:val="single"/>
          </w:rPr>
          <w:t xml:space="preserve">handbook.monash.edu</w:t>
        </w:r>
      </w:hyperlink>
      <w:r>
        <w:rPr>
          <w:rFonts w:ascii="Arial" w:cs="Arial" w:eastAsia="Arial" w:hAnsi="Arial"/>
          <w:color w:val="2C2C2A"/>
          <w:sz w:val="19"/>
          <w:szCs w:val="19"/>
        </w:rPr>
        <w:t xml:space="preserve">) and with Monash Malaysia Student Services before enrolling each semester.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2fkmibmy1kwbvnt81n2i" Type="http://schemas.openxmlformats.org/officeDocument/2006/relationships/hyperlink" Target="https://www.monash.edu.my/business/current/course-map-planning-guide/b2026" TargetMode="External"/><Relationship Id="rIdy8mwug9a0amhroiibaqmd" Type="http://schemas.openxmlformats.org/officeDocument/2006/relationships/hyperlink" Target="https://handbook.monash.edu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2026-06-16T22:14:55.628Z</dcterms:created>
  <dcterms:modified xsi:type="dcterms:W3CDTF">2026-06-16T22:14:55.628Z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