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29349A71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BULAN </w:t>
      </w:r>
      <w:r w:rsidR="008D3ACD" w:rsidRPr="008D3ACD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AGUSTUS</w:t>
      </w:r>
    </w:p>
    <w:p w14:paraId="4507B78C" w14:textId="3C471AF8" w:rsidR="00A25CAC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6370DE29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 </w:t>
      </w:r>
      <w:bookmarkStart w:id="0" w:name="_Hlk157518555"/>
      <w:r w:rsidR="00C049A8" w:rsidRPr="00E46574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246</w:t>
      </w:r>
      <w:r w:rsidR="00C049A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 TAHUN 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67B7AB66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Jumat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1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A25CAC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A25CAC" w:rsidRPr="0007232A" w:rsidRDefault="00A25CAC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376A551B" w:rsidR="00A25CAC" w:rsidRPr="0007232A" w:rsidRDefault="00C049A8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Reza Mayendra Tanjung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Simeulue Timur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6AEED28D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D43E5B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="00B44816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A25CAC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A25CAC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5B93DC36" w:rsidR="00A25CAC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proofErr w:type="spellStart"/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</w:t>
      </w:r>
      <w:proofErr w:type="spellEnd"/>
      <w:r w:rsidR="004C59B8">
        <w:rPr>
          <w:rFonts w:ascii="Bookman Old Style" w:hAnsi="Bookman Old Style"/>
          <w:color w:val="000000" w:themeColor="text1"/>
          <w:sz w:val="24"/>
          <w:szCs w:val="24"/>
        </w:rPr>
        <w:t>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0C08EED8" w:rsidR="00A25CAC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01 Agustus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31 Agustus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A25CAC" w:rsidRPr="0007232A" w:rsidRDefault="00A25CAC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A25CAC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A25CAC" w:rsidRPr="0007232A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3B0DC31A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honorarium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sebesar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/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  rupiah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dalam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Pasal 2,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5975F6A" w14:textId="77777777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A25CAC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A25CAC" w:rsidRPr="00CC1D21" w:rsidRDefault="00A25CAC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A25CAC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A25CAC" w:rsidRPr="00102C16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A25CAC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A25CAC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A25CAC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A25CAC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A25CAC" w:rsidRPr="00CC1D21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18DA02E1" w:rsidR="00A25CAC" w:rsidRPr="00CC1D21" w:rsidRDefault="00ED4EC4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Reza Mayendra Tanjung</w:t>
            </w:r>
          </w:p>
        </w:tc>
        <w:tc>
          <w:tcPr>
            <w:tcW w:w="4339" w:type="dxa"/>
          </w:tcPr>
          <w:p w14:paraId="28F9FFCC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A25CAC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34701DCB" w14:textId="30A3D2C9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9A8B617" w14:textId="77777777" w:rsidR="00815DBE" w:rsidRDefault="00815DBE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E715350" w14:textId="17DA3826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031C7734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9938D8" w:rsidRPr="009938D8">
        <w:rPr>
          <w:rFonts w:ascii="Bookman Old Style" w:hAnsi="Bookman Old Style"/>
          <w:highlight w:val="yellow"/>
          <w:lang w:val="sv-SE"/>
        </w:rPr>
        <w:t>AGUSTUS</w:t>
      </w:r>
      <w:r w:rsidR="009938D8">
        <w:rPr>
          <w:rFonts w:ascii="Bookman Old Style" w:hAnsi="Bookman Old Style"/>
          <w:lang w:val="sv-SE"/>
        </w:rPr>
        <w:t xml:space="preserve"> </w:t>
      </w:r>
      <w:r>
        <w:rPr>
          <w:rFonts w:ascii="Bookman Old Style" w:hAnsi="Bookman Old Style"/>
        </w:rPr>
        <w:t>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773799D7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9938D8" w:rsidRPr="009938D8">
        <w:rPr>
          <w:rFonts w:ascii="Bookman Old Style" w:hAnsi="Bookman Old Style"/>
          <w:highlight w:val="yellow"/>
          <w:lang w:val="sv-SE"/>
        </w:rPr>
        <w:t>246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1133"/>
        <w:gridCol w:w="1454"/>
        <w:gridCol w:w="1042"/>
        <w:gridCol w:w="1164"/>
        <w:gridCol w:w="1184"/>
        <w:gridCol w:w="1408"/>
        <w:gridCol w:w="1568"/>
        <w:gridCol w:w="1821"/>
      </w:tblGrid>
      <w:tr w:rsidR="00B76458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B76458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B76458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554634E6" w:rsidR="001F71DF" w:rsidRPr="00B76458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 w:rsidRPr="00B76458">
              <w:rPr>
                <w:rFonts w:ascii="Bookman Old Style" w:hAnsi="Bookman Old Style"/>
                <w:i/>
              </w:rPr>
              <w:t>Terbilang</w:t>
            </w:r>
            <w:proofErr w:type="spellEnd"/>
            <w:r w:rsidRPr="00B76458">
              <w:rPr>
                <w:rFonts w:ascii="Bookman Old Style" w:hAnsi="Bookman Old Style"/>
                <w:i/>
              </w:rPr>
              <w:t xml:space="preserve">: 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  Rupiah</w:t>
            </w:r>
          </w:p>
        </w:tc>
        <w:tc>
          <w:tcPr>
            <w:tcW w:w="1213" w:type="dxa"/>
          </w:tcPr>
          <w:p w14:paraId="3DE5D9DC" w14:textId="131603B4" w:rsidR="001F71DF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/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5406F"/>
    <w:rsid w:val="001D7BB6"/>
    <w:rsid w:val="001F71DF"/>
    <w:rsid w:val="002A44CC"/>
    <w:rsid w:val="003F5AA2"/>
    <w:rsid w:val="003F70CA"/>
    <w:rsid w:val="00431AFB"/>
    <w:rsid w:val="004C59B8"/>
    <w:rsid w:val="00513C3C"/>
    <w:rsid w:val="00516819"/>
    <w:rsid w:val="0058784D"/>
    <w:rsid w:val="005B3780"/>
    <w:rsid w:val="00643C73"/>
    <w:rsid w:val="006E03F3"/>
    <w:rsid w:val="00803CF2"/>
    <w:rsid w:val="008125E1"/>
    <w:rsid w:val="00815DBE"/>
    <w:rsid w:val="00881256"/>
    <w:rsid w:val="008A2459"/>
    <w:rsid w:val="008D3ACD"/>
    <w:rsid w:val="00945C86"/>
    <w:rsid w:val="009938D8"/>
    <w:rsid w:val="009C2C94"/>
    <w:rsid w:val="00A25CAC"/>
    <w:rsid w:val="00A450C3"/>
    <w:rsid w:val="00B12446"/>
    <w:rsid w:val="00B2200D"/>
    <w:rsid w:val="00B44816"/>
    <w:rsid w:val="00B7567C"/>
    <w:rsid w:val="00B76458"/>
    <w:rsid w:val="00C049A8"/>
    <w:rsid w:val="00C661E7"/>
    <w:rsid w:val="00CD1711"/>
    <w:rsid w:val="00D43E5B"/>
    <w:rsid w:val="00DF466E"/>
    <w:rsid w:val="00E112D6"/>
    <w:rsid w:val="00E46574"/>
    <w:rsid w:val="00ED4EC4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22</cp:revision>
  <cp:lastPrinted>2023-08-28T01:54:00Z</cp:lastPrinted>
  <dcterms:created xsi:type="dcterms:W3CDTF">2025-02-03T07:45:00Z</dcterms:created>
  <dcterms:modified xsi:type="dcterms:W3CDTF">2025-02-14T08:00:00Z</dcterms:modified>
</cp:coreProperties>
</file>