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64A" w:rsidRPr="00D33C53" w:rsidRDefault="0025064A" w:rsidP="00D33C53">
      <w:pPr>
        <w:pStyle w:val="a3"/>
        <w:contextualSpacing w:val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5064A" w:rsidRPr="00D33C53" w:rsidRDefault="00FD2AF3" w:rsidP="00D33C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  <w:shd w:val="clear" w:color="auto" w:fill="FFFFFF"/>
        </w:rPr>
        <w:t>Воронежский государственный университет</w:t>
      </w:r>
    </w:p>
    <w:p w:rsidR="00FD2AF3" w:rsidRPr="00D33C53" w:rsidRDefault="007A4473" w:rsidP="00D33C5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33C53">
        <w:rPr>
          <w:rStyle w:val="a4"/>
          <w:rFonts w:ascii="Times New Roman" w:hAnsi="Times New Roman" w:cs="Times New Roman"/>
          <w:b/>
          <w:sz w:val="28"/>
          <w:szCs w:val="28"/>
        </w:rPr>
        <w:t>Проектная работа</w:t>
      </w:r>
      <w:r w:rsidRPr="00D33C5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7A4473" w:rsidRPr="00D33C53" w:rsidRDefault="007A4473" w:rsidP="00D33C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3C53">
        <w:rPr>
          <w:rFonts w:ascii="Times New Roman" w:hAnsi="Times New Roman" w:cs="Times New Roman"/>
          <w:sz w:val="28"/>
          <w:szCs w:val="28"/>
          <w:shd w:val="clear" w:color="auto" w:fill="FFFFFF"/>
        </w:rPr>
        <w:t>на тему:</w:t>
      </w:r>
    </w:p>
    <w:p w:rsidR="00A65969" w:rsidRPr="00D33C53" w:rsidRDefault="00871545" w:rsidP="00D33C53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3C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Нейронные сети. «Футурология». Краудсорсинг. Анализ и прототипирование интерфейсов.</w:t>
      </w:r>
    </w:p>
    <w:p w:rsidR="00A65969" w:rsidRPr="00D33C53" w:rsidRDefault="00A65969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BC3" w:rsidRPr="00D33C53" w:rsidRDefault="00697BC3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BC3" w:rsidRPr="00D33C53" w:rsidRDefault="00697BC3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BC3" w:rsidRPr="00D33C53" w:rsidRDefault="00697BC3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2AF3" w:rsidRPr="00D33C53" w:rsidRDefault="00871545" w:rsidP="00D33C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</w:rPr>
        <w:t>Подготовил студент</w:t>
      </w:r>
      <w:r w:rsidR="00FD2AF3" w:rsidRPr="00D33C53">
        <w:rPr>
          <w:rFonts w:ascii="Times New Roman" w:hAnsi="Times New Roman" w:cs="Times New Roman"/>
          <w:sz w:val="28"/>
          <w:szCs w:val="28"/>
        </w:rPr>
        <w:t xml:space="preserve"> ВГУ</w:t>
      </w:r>
    </w:p>
    <w:p w:rsidR="00FD2AF3" w:rsidRPr="00D33C53" w:rsidRDefault="00FD2AF3" w:rsidP="00D33C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</w:rPr>
        <w:t>1 курс</w:t>
      </w:r>
    </w:p>
    <w:p w:rsidR="00FD2AF3" w:rsidRPr="00D33C53" w:rsidRDefault="00FD2AF3" w:rsidP="00D33C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</w:rPr>
        <w:t>Направление «Лингвистика»</w:t>
      </w:r>
    </w:p>
    <w:p w:rsidR="00FD2AF3" w:rsidRPr="00D33C53" w:rsidRDefault="00FD2AF3" w:rsidP="00D33C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</w:rPr>
        <w:t>Профиль «</w:t>
      </w:r>
      <w:proofErr w:type="spellStart"/>
      <w:r w:rsidRPr="00D33C53">
        <w:rPr>
          <w:rFonts w:ascii="Times New Roman" w:hAnsi="Times New Roman" w:cs="Times New Roman"/>
          <w:sz w:val="28"/>
          <w:szCs w:val="28"/>
        </w:rPr>
        <w:t>ТиМПИЯиК</w:t>
      </w:r>
      <w:proofErr w:type="spellEnd"/>
      <w:r w:rsidRPr="00D33C53">
        <w:rPr>
          <w:rFonts w:ascii="Times New Roman" w:hAnsi="Times New Roman" w:cs="Times New Roman"/>
          <w:sz w:val="28"/>
          <w:szCs w:val="28"/>
        </w:rPr>
        <w:t>»</w:t>
      </w:r>
    </w:p>
    <w:p w:rsidR="00FD2AF3" w:rsidRPr="00D33C53" w:rsidRDefault="00FD2AF3" w:rsidP="00D33C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</w:rPr>
        <w:t xml:space="preserve"> </w:t>
      </w:r>
      <w:r w:rsidR="00871545" w:rsidRPr="00D33C53">
        <w:rPr>
          <w:rFonts w:ascii="Times New Roman" w:hAnsi="Times New Roman" w:cs="Times New Roman"/>
          <w:sz w:val="28"/>
          <w:szCs w:val="28"/>
        </w:rPr>
        <w:t xml:space="preserve">Кравченко Лам Марк </w:t>
      </w:r>
      <w:proofErr w:type="spellStart"/>
      <w:r w:rsidR="00871545" w:rsidRPr="00D33C53">
        <w:rPr>
          <w:rFonts w:ascii="Times New Roman" w:hAnsi="Times New Roman" w:cs="Times New Roman"/>
          <w:sz w:val="28"/>
          <w:szCs w:val="28"/>
        </w:rPr>
        <w:t>Тхе</w:t>
      </w:r>
      <w:proofErr w:type="spellEnd"/>
      <w:r w:rsidR="00871545" w:rsidRPr="00D33C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1545" w:rsidRPr="00D33C53">
        <w:rPr>
          <w:rFonts w:ascii="Times New Roman" w:hAnsi="Times New Roman" w:cs="Times New Roman"/>
          <w:sz w:val="28"/>
          <w:szCs w:val="28"/>
        </w:rPr>
        <w:t>Хань</w:t>
      </w:r>
      <w:proofErr w:type="spellEnd"/>
      <w:r w:rsidR="00871545" w:rsidRPr="00D33C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7BC3" w:rsidRPr="00D33C53" w:rsidRDefault="00697BC3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BC3" w:rsidRPr="00D33C53" w:rsidRDefault="00697BC3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BC3" w:rsidRPr="00D33C53" w:rsidRDefault="00697BC3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BC3" w:rsidRPr="00D33C53" w:rsidRDefault="00697BC3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BC3" w:rsidRPr="00D33C53" w:rsidRDefault="00697BC3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97BC3" w:rsidRPr="00D33C53" w:rsidRDefault="00697BC3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71545" w:rsidRPr="00D33C53" w:rsidRDefault="00871545" w:rsidP="00D33C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1545" w:rsidRPr="00D33C53" w:rsidRDefault="00871545" w:rsidP="00D33C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1545" w:rsidRPr="00D33C53" w:rsidRDefault="00871545" w:rsidP="00D33C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1545" w:rsidRPr="00D33C53" w:rsidRDefault="00871545" w:rsidP="00D33C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7BC3" w:rsidRPr="00D33C53" w:rsidRDefault="00FD2AF3" w:rsidP="00D33C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</w:rPr>
        <w:t>Воронеж</w:t>
      </w:r>
    </w:p>
    <w:p w:rsidR="00FD2AF3" w:rsidRPr="00D33C53" w:rsidRDefault="00FD2AF3" w:rsidP="00D33C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</w:rPr>
        <w:t>2018</w:t>
      </w:r>
    </w:p>
    <w:p w:rsidR="0087372B" w:rsidRPr="00D33C53" w:rsidRDefault="0087372B" w:rsidP="00D33C53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D33C53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lastRenderedPageBreak/>
        <w:t>Мо</w:t>
      </w:r>
      <w:r w:rsidR="00AE7E99" w:rsidRPr="00D33C53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т</w:t>
      </w:r>
      <w:r w:rsidRPr="00D33C53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ивация</w:t>
      </w:r>
    </w:p>
    <w:p w:rsidR="0087372B" w:rsidRPr="00D33C53" w:rsidRDefault="00AE7E99" w:rsidP="00D33C53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</w:rPr>
        <w:t xml:space="preserve">О перспективах развития изучения искусственного интеллекта: </w:t>
      </w:r>
      <w:hyperlink r:id="rId6" w:history="1">
        <w:r w:rsidRPr="00D33C53">
          <w:rPr>
            <w:rStyle w:val="a7"/>
            <w:rFonts w:ascii="Times New Roman" w:hAnsi="Times New Roman" w:cs="Times New Roman"/>
            <w:i/>
            <w:sz w:val="28"/>
            <w:szCs w:val="28"/>
          </w:rPr>
          <w:t>https://www.youtube.com/watch?v=VqowxsIiuX0</w:t>
        </w:r>
      </w:hyperlink>
    </w:p>
    <w:p w:rsidR="00481C28" w:rsidRPr="00D33C53" w:rsidRDefault="00AE7E99" w:rsidP="00D33C53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D33C53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Теория</w:t>
      </w:r>
    </w:p>
    <w:p w:rsidR="00152A51" w:rsidRPr="00D33C53" w:rsidRDefault="00152A51" w:rsidP="00D33C53">
      <w:pPr>
        <w:pStyle w:val="1"/>
        <w:spacing w:line="240" w:lineRule="auto"/>
        <w:rPr>
          <w:rFonts w:ascii="Times New Roman" w:eastAsiaTheme="minorHAnsi" w:hAnsi="Times New Roman" w:cs="Times New Roman"/>
        </w:rPr>
      </w:pPr>
      <w:r w:rsidRPr="00D33C53">
        <w:rPr>
          <w:rFonts w:ascii="Times New Roman" w:eastAsia="Calibri" w:hAnsi="Times New Roman" w:cs="Times New Roman"/>
        </w:rPr>
        <w:t>Нейронные сети</w:t>
      </w:r>
    </w:p>
    <w:p w:rsidR="00481C28" w:rsidRPr="00D33C53" w:rsidRDefault="00481C28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>Нейронные сети – одно из направлений научных исследований в области создания искусственного интеллекта (ИИ) в основе которого лежит стремление имитировать нервную систему человека. Под искусственными нейронными сетями принято понимать вычислительные системы, имеющие способности к самообучению, постепенному повышению своей производительности. Основными элементами структуры нейронной сети являются:</w:t>
      </w:r>
    </w:p>
    <w:p w:rsidR="00481C28" w:rsidRPr="00D33C53" w:rsidRDefault="00481C28" w:rsidP="00D33C53">
      <w:pPr>
        <w:numPr>
          <w:ilvl w:val="0"/>
          <w:numId w:val="5"/>
        </w:numPr>
        <w:spacing w:after="1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>Искусственные нейроны, представляющие собой элементарные, связанные между собой единицы.</w:t>
      </w:r>
    </w:p>
    <w:p w:rsidR="00481C28" w:rsidRPr="00D33C53" w:rsidRDefault="00481C28" w:rsidP="00D33C53">
      <w:pPr>
        <w:numPr>
          <w:ilvl w:val="0"/>
          <w:numId w:val="5"/>
        </w:numPr>
        <w:spacing w:after="1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>Синапс – это соединение, которые используется для отправки-получения информации между нейронами.</w:t>
      </w:r>
    </w:p>
    <w:p w:rsidR="00481C28" w:rsidRPr="00D33C53" w:rsidRDefault="00481C28" w:rsidP="00D33C53">
      <w:pPr>
        <w:numPr>
          <w:ilvl w:val="0"/>
          <w:numId w:val="5"/>
        </w:numPr>
        <w:spacing w:after="1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>Сигнал – собственно информация, подлежащая передаче.</w:t>
      </w:r>
    </w:p>
    <w:p w:rsidR="00481C28" w:rsidRPr="00D33C53" w:rsidRDefault="00481C28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>Область применения искусственных нейронных сетей с каждым годом все более расширяется, на сегодняшний день они используются в таких сферах как:</w:t>
      </w:r>
    </w:p>
    <w:p w:rsidR="00481C28" w:rsidRPr="00D33C53" w:rsidRDefault="00481C28" w:rsidP="00D33C53">
      <w:pPr>
        <w:numPr>
          <w:ilvl w:val="0"/>
          <w:numId w:val="4"/>
        </w:numPr>
        <w:spacing w:after="1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Машинное обучение, представляющее собой разновидность искусственного интеллекта. В наше время машинное обучение активно внедряют поисковые системы Гугл, Яндекс, Бинг. На основе миллионов поисковых запросов, которые все мы каждый день вводим в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Гугле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>, их алгоритмы учатся показывать нам наиболее релевантный итог запроса.</w:t>
      </w:r>
    </w:p>
    <w:p w:rsidR="00481C28" w:rsidRPr="00D33C53" w:rsidRDefault="00481C28" w:rsidP="00D33C53">
      <w:pPr>
        <w:numPr>
          <w:ilvl w:val="0"/>
          <w:numId w:val="4"/>
        </w:numPr>
        <w:spacing w:after="1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роботехнике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нейронные сети используются в выработке многочисленных алгоритмов для железных «мозгов» роботов.</w:t>
      </w:r>
    </w:p>
    <w:p w:rsidR="00481C28" w:rsidRPr="00D33C53" w:rsidRDefault="00481C28" w:rsidP="00D33C53">
      <w:pPr>
        <w:numPr>
          <w:ilvl w:val="0"/>
          <w:numId w:val="4"/>
        </w:numPr>
        <w:spacing w:after="1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>Архитекторы компьютерных систем пользуются нейронными сетями для решения проблемы параллельных вычислений.</w:t>
      </w:r>
    </w:p>
    <w:p w:rsidR="00481C28" w:rsidRPr="00D33C53" w:rsidRDefault="00481C28" w:rsidP="00D33C53">
      <w:pPr>
        <w:numPr>
          <w:ilvl w:val="0"/>
          <w:numId w:val="4"/>
        </w:numPr>
        <w:spacing w:after="1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>С помощью нейронных сетей математики могут разрешать разные сложные математические задачи.</w:t>
      </w:r>
    </w:p>
    <w:p w:rsidR="00152A51" w:rsidRPr="00D33C53" w:rsidRDefault="00152A51" w:rsidP="00D33C53">
      <w:pPr>
        <w:spacing w:after="160" w:line="24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52A51" w:rsidRPr="0057107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3C53">
        <w:rPr>
          <w:rStyle w:val="10"/>
          <w:rFonts w:ascii="Times New Roman" w:hAnsi="Times New Roman" w:cs="Times New Roman"/>
        </w:rPr>
        <w:t>ОФФТОП</w:t>
      </w: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с картами: почему «народные» карты бывают круче карт </w:t>
      </w:r>
      <w:r w:rsidRPr="00D3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bookmarkStart w:id="0" w:name="_GoBack"/>
      <w:bookmarkEnd w:id="0"/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статье приведены несколько способов улучшения существующих карт и уменьшения затрат на них. Достаточно найти небольшой город в </w:t>
      </w:r>
      <w:r w:rsidRPr="00D3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3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Maps</w:t>
      </w: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станет очевидно, что на карту нанесено далеко не всё. Использование </w:t>
      </w:r>
      <w:proofErr w:type="spellStart"/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нейросетей</w:t>
      </w:r>
      <w:proofErr w:type="spellEnd"/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анализе спутниковых карт поможет решить эту проблему: такую, как, например, ниже. В </w:t>
      </w:r>
      <w:proofErr w:type="spellStart"/>
      <w:r w:rsidRPr="00D3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OneStreetMap</w:t>
      </w:r>
      <w:proofErr w:type="spellEnd"/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(программа, редактирующая карты в основном по правкам самих пользователей) парковка нанесена, на снимках со спутников ее тоже видно, но ее нет на </w:t>
      </w:r>
      <w:proofErr w:type="spellStart"/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гугл</w:t>
      </w:r>
      <w:proofErr w:type="spellEnd"/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картах. Использование </w:t>
      </w:r>
      <w:proofErr w:type="spellStart"/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нейросетей</w:t>
      </w:r>
      <w:proofErr w:type="spellEnd"/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позволит более точно переносить снимки со спутников на </w:t>
      </w:r>
      <w:proofErr w:type="spellStart"/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гугл</w:t>
      </w:r>
      <w:proofErr w:type="spellEnd"/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карты.</w:t>
      </w: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2D0E5ABB" wp14:editId="1ABB7DEB">
            <wp:simplePos x="0" y="0"/>
            <wp:positionH relativeFrom="margin">
              <wp:posOffset>-451485</wp:posOffset>
            </wp:positionH>
            <wp:positionV relativeFrom="paragraph">
              <wp:posOffset>313690</wp:posOffset>
            </wp:positionV>
            <wp:extent cx="2171700" cy="28956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25DA6CE0" wp14:editId="478F924F">
            <wp:simplePos x="0" y="0"/>
            <wp:positionH relativeFrom="page">
              <wp:posOffset>3057525</wp:posOffset>
            </wp:positionH>
            <wp:positionV relativeFrom="paragraph">
              <wp:posOffset>14605</wp:posOffset>
            </wp:positionV>
            <wp:extent cx="2127885" cy="2838450"/>
            <wp:effectExtent l="0" t="0" r="5715" b="0"/>
            <wp:wrapTight wrapText="bothSides">
              <wp:wrapPolygon edited="0">
                <wp:start x="0" y="0"/>
                <wp:lineTo x="0" y="21455"/>
                <wp:lineTo x="21465" y="21455"/>
                <wp:lineTo x="2146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C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69ECBEBB" wp14:editId="3A5E0A90">
            <wp:simplePos x="0" y="0"/>
            <wp:positionH relativeFrom="column">
              <wp:posOffset>4225290</wp:posOffset>
            </wp:positionH>
            <wp:positionV relativeFrom="paragraph">
              <wp:posOffset>13970</wp:posOffset>
            </wp:positionV>
            <wp:extent cx="2133600" cy="2844800"/>
            <wp:effectExtent l="0" t="0" r="0" b="0"/>
            <wp:wrapTight wrapText="bothSides">
              <wp:wrapPolygon edited="0">
                <wp:start x="0" y="0"/>
                <wp:lineTo x="0" y="21407"/>
                <wp:lineTo x="21407" y="21407"/>
                <wp:lineTo x="2140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1C28" w:rsidRPr="00D33C53" w:rsidRDefault="00481C28" w:rsidP="00D33C53">
      <w:pPr>
        <w:spacing w:after="1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81C28" w:rsidRPr="00D33C53" w:rsidRDefault="00481C28" w:rsidP="00D33C53">
      <w:pPr>
        <w:spacing w:after="1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81C28" w:rsidRPr="00D33C53" w:rsidRDefault="00152A51" w:rsidP="00D33C53">
      <w:pPr>
        <w:pStyle w:val="1"/>
        <w:spacing w:line="240" w:lineRule="auto"/>
        <w:rPr>
          <w:rFonts w:ascii="Times New Roman" w:eastAsia="Calibri" w:hAnsi="Times New Roman" w:cs="Times New Roman"/>
        </w:rPr>
      </w:pPr>
      <w:r w:rsidRPr="00D33C53">
        <w:rPr>
          <w:rFonts w:ascii="Times New Roman" w:eastAsia="Calibri" w:hAnsi="Times New Roman" w:cs="Times New Roman"/>
        </w:rPr>
        <w:t>Футурология</w:t>
      </w:r>
    </w:p>
    <w:p w:rsidR="00481C28" w:rsidRPr="00D33C53" w:rsidRDefault="00481C28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>Футурология — это особенное ответвление практически любой научной сферы, которо</w:t>
      </w:r>
      <w:r w:rsidR="00152A51" w:rsidRPr="00D33C53">
        <w:rPr>
          <w:rFonts w:ascii="Times New Roman" w:eastAsia="Calibri" w:hAnsi="Times New Roman" w:cs="Times New Roman"/>
          <w:sz w:val="28"/>
          <w:szCs w:val="28"/>
        </w:rPr>
        <w:t>е пытается ответить на вопрос «</w:t>
      </w:r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что будет через (здесь вставить цифру) лет». Футурологи изучают статистику, тенденции, прошлое и настоящее, пытаясь сформировать примерное представление отдаленного или ближайшего будущего. Термин “Футурология” предложил в 1943 немецкий социолог Осип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Флехтхейм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>, имея в виду некую надклассовую “философию будущего”, противостоящую идеологии и утопии. С начала 60-х гг. это понятие распространилось на Западе в смысле “истории будущего”, “науки о будущем”.</w:t>
      </w:r>
    </w:p>
    <w:p w:rsidR="00481C28" w:rsidRPr="00D33C53" w:rsidRDefault="00481C28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>Основные методы, используемые в футурологии, можно разделить на четыре группы:</w:t>
      </w:r>
    </w:p>
    <w:p w:rsidR="00481C28" w:rsidRPr="00D33C53" w:rsidRDefault="00481C28" w:rsidP="00D33C53">
      <w:pPr>
        <w:numPr>
          <w:ilvl w:val="0"/>
          <w:numId w:val="6"/>
        </w:numPr>
        <w:spacing w:after="1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Направленные на выявление общего мнения опросы экспертов с помощью метода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Дельфи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или анкетирования.</w:t>
      </w:r>
    </w:p>
    <w:p w:rsidR="00481C28" w:rsidRPr="00D33C53" w:rsidRDefault="00481C28" w:rsidP="00D33C53">
      <w:pPr>
        <w:numPr>
          <w:ilvl w:val="0"/>
          <w:numId w:val="6"/>
        </w:numPr>
        <w:spacing w:after="1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lastRenderedPageBreak/>
        <w:t>Статистические методы, такие как экстраполяция, вероятностный анализ, регрессионный и корреляционный анализ.</w:t>
      </w:r>
    </w:p>
    <w:p w:rsidR="00481C28" w:rsidRPr="00D33C53" w:rsidRDefault="00481C28" w:rsidP="00D33C53">
      <w:pPr>
        <w:numPr>
          <w:ilvl w:val="0"/>
          <w:numId w:val="6"/>
        </w:numPr>
        <w:spacing w:after="1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>Поиск аналогий будущего с существующими системами и составление сценариев будущего.</w:t>
      </w:r>
    </w:p>
    <w:p w:rsidR="00481C28" w:rsidRPr="00D33C53" w:rsidRDefault="00481C28" w:rsidP="00D33C53">
      <w:pPr>
        <w:numPr>
          <w:ilvl w:val="0"/>
          <w:numId w:val="6"/>
        </w:numPr>
        <w:spacing w:after="1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>Ролевые игры, симуляции, переговоры и другие методы групповой работы по планированию и прогнозированию будущего.</w:t>
      </w:r>
    </w:p>
    <w:p w:rsidR="00481C28" w:rsidRPr="00D33C53" w:rsidRDefault="00481C28" w:rsidP="00D33C53">
      <w:pPr>
        <w:spacing w:after="160" w:line="24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>Футуролог использует вдохновение и исследование в различных пропорциях. Этот термин исключает тех, кто предсказывает будущее сверхъестественными способами, а также тех, кто предсказывает недалёкое будущее или легко предсказуемые варианты развития событий (например, экономисты, которые предсказывают изменения процентных ставок в течение следующего делового цикла, футурологами не являются, в отличие от тех, кто предсказывает относительное богатство наций через поколение).</w:t>
      </w:r>
    </w:p>
    <w:p w:rsidR="00481C28" w:rsidRPr="00D33C53" w:rsidRDefault="00481C28" w:rsidP="00D33C53">
      <w:pPr>
        <w:spacing w:after="160" w:line="24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Общий поток футурологических исследований делится на два основных направления: оптимистическое и пессимистическое (теории кризисов и катастроф). Оба они в свою очередь дифференцированы по содержанию и тональности на ряд школ и тенденций: футурология участия, т. е. участие масс в управлении (Ф.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Полак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, Р. Юнг); футурология “поворотного будущего” (Т. Джонс, Б.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Фуллер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);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фугурология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непрофессиональных (для обществознания), гуманистически ориентированных естествоиспытателей (Д.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Габор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, К. Ф. фон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Вейцзекер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); проектирование моделей мирового порядка (С. С.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Менделовац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, Дж.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Бхагвати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, А.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Мазрун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, Р.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Котари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, Р. Фальк); гуманистическая группа — Римский клуб и авторы его докладов (Б. де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Жувенель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); американское оптимистическое направление — “неумеренные пророки”, технологические оптимисты, обсуждающие дилемму крушения или спасения (Б.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Фуллер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и Дж.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Макчейл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>) и др.</w:t>
      </w:r>
    </w:p>
    <w:p w:rsidR="00481C28" w:rsidRPr="00D33C53" w:rsidRDefault="00481C28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81C28" w:rsidRPr="00D33C53" w:rsidRDefault="00152A51" w:rsidP="00D33C53">
      <w:pPr>
        <w:pStyle w:val="1"/>
        <w:spacing w:line="240" w:lineRule="auto"/>
        <w:rPr>
          <w:rFonts w:ascii="Times New Roman" w:eastAsia="Calibri" w:hAnsi="Times New Roman" w:cs="Times New Roman"/>
        </w:rPr>
      </w:pPr>
      <w:proofErr w:type="spellStart"/>
      <w:r w:rsidRPr="00D33C53">
        <w:rPr>
          <w:rFonts w:ascii="Times New Roman" w:eastAsia="Calibri" w:hAnsi="Times New Roman" w:cs="Times New Roman"/>
        </w:rPr>
        <w:t>Краудсорсинг</w:t>
      </w:r>
      <w:proofErr w:type="spellEnd"/>
    </w:p>
    <w:p w:rsidR="00D33C53" w:rsidRPr="00D33C53" w:rsidRDefault="00D33C53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81C28" w:rsidRPr="00D33C53" w:rsidRDefault="00481C28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Активно приживается и в России такой популярный за рубежом элемент общественной культуры, как краудсорсинг.  Ежегодно объем слов в русском языке увеличивается в среднем на тысячу новых слов. В последнее время наблюдается тенденция к заимствованию иностранных слов, которые зачастую остаются специальными, непонятными для большинства людей.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Краудсорсинг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crowdsourcing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) - слово, пришедшее из английского языка. В переводе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crowd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значит "толпа",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sourcing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- "поиск ресурсов". Таким образом, этим словом называют процесс сбора каких-либо ресурсов силами большой массы людей. Привлекая ресурсы толпы, любое общественное начинание имеет больше шансов на успех. </w:t>
      </w:r>
    </w:p>
    <w:p w:rsidR="00481C28" w:rsidRPr="00D33C53" w:rsidRDefault="00481C28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lastRenderedPageBreak/>
        <w:t>Примеры российского опыта использования этой технологии можно найти на сайте проектов государственно-частного партнерства (ГЧП). Сайт содержит в себе базу проектов, которые были созданы, создаются на данный момент времени или пока что находятся в разработке.</w:t>
      </w:r>
    </w:p>
    <w:p w:rsidR="00D33C53" w:rsidRPr="00D33C53" w:rsidRDefault="00481C28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Краудсорсинг может применяться не только в сфере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частно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-государственных отношений. Технология краудсорсинга знакома управленцам в самых различных сферах жизнедеятельности человека: и в образовании, и в науке, и в государственном управлении. Примеров краудсорсинга в современном мире можно насчитать миллионы, эта практика </w:t>
      </w:r>
    </w:p>
    <w:p w:rsidR="00481C28" w:rsidRPr="00D33C53" w:rsidRDefault="00481C28" w:rsidP="00D33C53">
      <w:pPr>
        <w:spacing w:after="1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широко применяется за рубежом, а на сегодняшний день становится все более популярной и в России. </w:t>
      </w:r>
    </w:p>
    <w:p w:rsidR="00481C28" w:rsidRPr="00D33C53" w:rsidRDefault="00481C28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>Дизайн-краудсорсинг в управлении был применен в Австралии в 1901 году, когда власти только что созданной федерации решили создать собственный государственный символ - флаг. На конкурсной основе был отобран лучший из предложенных. В голосовании принимали участие и иностранные граждане. Географическая изоляция, а также структурные особенности экономики Австралии в начале двадцатого века повлияли на выбор из предложенных эскизов флага. Меритократия и эгалитаризм той эпохи также повлияли на выбор. Именно поэтому флаг Австралии активно критиковался уже в конце двадцатого века (из-за подчеркивания зависимости Австралии от Великобритании). Также известно, что к инструментам краудсорсинга прибегали при создании дизайна Сиднейской оперы.</w:t>
      </w:r>
    </w:p>
    <w:p w:rsidR="00481C28" w:rsidRPr="00D33C53" w:rsidRDefault="00481C28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52A51" w:rsidRPr="00D33C53" w:rsidRDefault="00152A51" w:rsidP="00D33C53">
      <w:pPr>
        <w:pStyle w:val="1"/>
        <w:spacing w:line="240" w:lineRule="auto"/>
        <w:rPr>
          <w:rFonts w:ascii="Times New Roman" w:hAnsi="Times New Roman" w:cs="Times New Roman"/>
          <w:shd w:val="clear" w:color="auto" w:fill="FFFFFF"/>
        </w:rPr>
      </w:pPr>
      <w:r w:rsidRPr="00D33C53">
        <w:rPr>
          <w:rFonts w:ascii="Times New Roman" w:hAnsi="Times New Roman" w:cs="Times New Roman"/>
          <w:shd w:val="clear" w:color="auto" w:fill="FFFFFF"/>
        </w:rPr>
        <w:t xml:space="preserve">Анализ и </w:t>
      </w:r>
      <w:proofErr w:type="spellStart"/>
      <w:r w:rsidRPr="00D33C53">
        <w:rPr>
          <w:rFonts w:ascii="Times New Roman" w:hAnsi="Times New Roman" w:cs="Times New Roman"/>
          <w:shd w:val="clear" w:color="auto" w:fill="FFFFFF"/>
        </w:rPr>
        <w:t>прототипирование</w:t>
      </w:r>
      <w:proofErr w:type="spellEnd"/>
      <w:r w:rsidRPr="00D33C53">
        <w:rPr>
          <w:rFonts w:ascii="Times New Roman" w:hAnsi="Times New Roman" w:cs="Times New Roman"/>
          <w:shd w:val="clear" w:color="auto" w:fill="FFFFFF"/>
        </w:rPr>
        <w:t xml:space="preserve"> интерфейсов.</w:t>
      </w:r>
    </w:p>
    <w:p w:rsidR="00152A51" w:rsidRPr="00D33C53" w:rsidRDefault="00152A51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81C28" w:rsidRDefault="00481C28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>Интерфейс — граница раздела двух систем, устройств или программ, определённая их характеристиками, характеристиками соединения, сигналов обмена и т. п. Совокупность унифицированных технических и программных средств и правил (описаний, соглашений, протоколов), обеспечивающих взаимодейс</w:t>
      </w:r>
      <w:r w:rsidR="00D33C53" w:rsidRPr="00D33C53">
        <w:rPr>
          <w:rFonts w:ascii="Times New Roman" w:eastAsia="Calibri" w:hAnsi="Times New Roman" w:cs="Times New Roman"/>
          <w:sz w:val="28"/>
          <w:szCs w:val="28"/>
        </w:rPr>
        <w:t>твие устройств и/или программ.</w:t>
      </w:r>
    </w:p>
    <w:p w:rsidR="00D33C53" w:rsidRDefault="00D33C53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Новые инструменты и сервисы для дизайна и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прототипирования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выходят и обновляются каждый день. Все они имеют средства для просмотра созданных прототипов и одинаково подходят как для веб-сайтов, так и для мобильной разработки. </w:t>
      </w:r>
      <w:r w:rsidR="00770488">
        <w:rPr>
          <w:rFonts w:ascii="Times New Roman" w:eastAsia="Calibri" w:hAnsi="Times New Roman" w:cs="Times New Roman"/>
          <w:sz w:val="28"/>
          <w:szCs w:val="28"/>
        </w:rPr>
        <w:t>И</w:t>
      </w:r>
      <w:r w:rsidRPr="00D33C53">
        <w:rPr>
          <w:rFonts w:ascii="Times New Roman" w:eastAsia="Calibri" w:hAnsi="Times New Roman" w:cs="Times New Roman"/>
          <w:sz w:val="28"/>
          <w:szCs w:val="28"/>
        </w:rPr>
        <w:t>деального инструмента, который закроет все за</w:t>
      </w:r>
      <w:r w:rsidR="00770488">
        <w:rPr>
          <w:rFonts w:ascii="Times New Roman" w:eastAsia="Calibri" w:hAnsi="Times New Roman" w:cs="Times New Roman"/>
          <w:sz w:val="28"/>
          <w:szCs w:val="28"/>
        </w:rPr>
        <w:t xml:space="preserve">дачи и содержит весь функционал конечно же нет. </w:t>
      </w:r>
    </w:p>
    <w:p w:rsidR="00770488" w:rsidRPr="00D33C53" w:rsidRDefault="00770488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33C53" w:rsidRPr="00D33C53" w:rsidRDefault="00D33C53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71205"/>
            <wp:effectExtent l="0" t="0" r="0" b="0"/>
            <wp:docPr id="7" name="Рисунок 7" descr="ÐÐ½ÑÑÑÑÐ¼ÐµÐ½ÑÑ Ð¿ÑÐ¾ÑÐ¾ÑÐ¸Ð¿Ð¸ÑÐ¾Ð²Ð°Ð½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Ð½ÑÑÑÑÐ¼ÐµÐ½ÑÑ Ð¿ÑÐ¾ÑÐ¾ÑÐ¸Ð¿Ð¸ÑÐ¾Ð²Ð°Ð½Ð¸Ñ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53" w:rsidRPr="00D33C53" w:rsidRDefault="00D33C53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Текущее состояние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прототипирования</w:t>
      </w:r>
      <w:proofErr w:type="spellEnd"/>
    </w:p>
    <w:p w:rsidR="00D33C53" w:rsidRPr="00D33C53" w:rsidRDefault="00D33C53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Как вы можете видеть из диаграммы выше, сейчас рынок заполнен инструментами для создания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кликабельных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прототипов. Несколько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дальновидцев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решили одну и ту же проблему, от чего мир дизайна только выиграл. Несколько индивидуалистов уже переосмысливают способы создания прототипов, и я думаю, эта индустрия будет выглядеть совсем по-другому уже в следующем году.</w:t>
      </w:r>
    </w:p>
    <w:p w:rsidR="00D33C53" w:rsidRPr="00D33C53" w:rsidRDefault="00D33C53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33C53" w:rsidRPr="00D33C53" w:rsidRDefault="00D33C53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819150"/>
            <wp:effectExtent l="0" t="0" r="0" b="0"/>
            <wp:docPr id="8" name="Рисунок 8" descr="Invision + Craft + Mac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vision + Craft + Maca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C53" w:rsidRPr="00D33C53" w:rsidRDefault="00D33C53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Silverflows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решил вставить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прототипирование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в дизайн-процесс, а не выносить его напоследок.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Macaw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ищет способ выйти на шаг вперед, генерируя реальный, готовый к использованию код из самого дизайна</w:t>
      </w:r>
    </w:p>
    <w:p w:rsidR="00D33C53" w:rsidRPr="00D33C53" w:rsidRDefault="00D33C53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33C53" w:rsidRPr="00D33C53" w:rsidRDefault="00D33C53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Google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также выкупил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Form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Pixate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, двух конкурентов в индустрии. Их недавнее обновление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Form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предполагает, что эти программы будут использоваться для дальнейших усилий в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Material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Design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 xml:space="preserve">, и это даст дизайнерам и разработчикам больше доступа к платформам для создания их приложений под 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D33C53">
        <w:rPr>
          <w:rFonts w:ascii="Times New Roman" w:eastAsia="Calibri" w:hAnsi="Times New Roman" w:cs="Times New Roman"/>
          <w:sz w:val="28"/>
          <w:szCs w:val="28"/>
        </w:rPr>
        <w:t>Material</w:t>
      </w:r>
      <w:proofErr w:type="spellEnd"/>
      <w:r w:rsidRPr="00D33C5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33C53" w:rsidRPr="00D33C53" w:rsidRDefault="00D33C53" w:rsidP="00D33C53">
      <w:pPr>
        <w:spacing w:after="16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819150"/>
            <wp:effectExtent l="0" t="0" r="0" b="0"/>
            <wp:docPr id="9" name="Рисунок 9" descr="Google + Framer + Pix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+ Framer + Pix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C4" w:rsidRPr="00D33C53" w:rsidRDefault="00F322C4" w:rsidP="00D33C53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D33C53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lastRenderedPageBreak/>
        <w:t>Практика</w:t>
      </w:r>
    </w:p>
    <w:p w:rsidR="00F322C4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программой от </w:t>
      </w:r>
      <w:r w:rsidRPr="00D3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3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Brain</w:t>
      </w: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. Это простейшая программа, которая даёт объяснение принципу работы нейросетей. (</w:t>
      </w:r>
      <w:hyperlink r:id="rId13" w:history="1">
        <w:r w:rsidRPr="00D33C53">
          <w:rPr>
            <w:rStyle w:val="a7"/>
            <w:rFonts w:ascii="Times New Roman" w:hAnsi="Times New Roman" w:cs="Times New Roman"/>
            <w:sz w:val="28"/>
            <w:szCs w:val="28"/>
          </w:rPr>
          <w:t>https://magenta.tensorflow.org/assets/sketch_rnn_demo/index.html</w:t>
        </w:r>
      </w:hyperlink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934075" cy="28860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Шаг 1 – выбираем модель, которую программе нужно дорисовать</w:t>
      </w: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2 – рисуем выбранную модель </w:t>
      </w: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407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Шаг 3 – наблюдаем, как программа дорисовывает </w:t>
      </w:r>
      <w:r w:rsidRPr="00D33C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4075" cy="3190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152A51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CF6D4C"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нейронными сетями для прогнозирования на фондовом рынке (</w:t>
      </w:r>
      <w:hyperlink r:id="rId17" w:history="1">
        <w:r w:rsidR="00CF6D4C" w:rsidRPr="00D33C53">
          <w:rPr>
            <w:rStyle w:val="a7"/>
            <w:rFonts w:ascii="Times New Roman" w:hAnsi="Times New Roman" w:cs="Times New Roman"/>
            <w:sz w:val="28"/>
            <w:szCs w:val="28"/>
          </w:rPr>
          <w:t>https://habr.com/post/396505/</w:t>
        </w:r>
      </w:hyperlink>
      <w:r w:rsidR="00CF6D4C"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-40641</wp:posOffset>
            </wp:positionV>
            <wp:extent cx="3651973" cy="2219325"/>
            <wp:effectExtent l="0" t="0" r="571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05" cy="222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Шаг 1: строится график изменения индекса ММВБ</w:t>
      </w: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Шаг 2: на основе этого графика строится матрица парных корреляций</w:t>
      </w:r>
    </w:p>
    <w:p w:rsidR="00CF6D4C" w:rsidRPr="00D33C53" w:rsidRDefault="00CF6D4C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990975" cy="1419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4C" w:rsidRPr="00D33C53" w:rsidRDefault="0084417E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Шаг 3: производится создание, обучение, а затем отбор лучшей нейросети</w:t>
      </w:r>
    </w:p>
    <w:p w:rsidR="0084417E" w:rsidRPr="00D33C53" w:rsidRDefault="0084417E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Шаг 4: осуществляется проекция данных для прогнозирования нейросетью тренда. Получены следующие результаты:</w:t>
      </w:r>
    </w:p>
    <w:p w:rsidR="00180CA9" w:rsidRPr="00D33C53" w:rsidRDefault="0084417E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видно из графика, направления тренда спрогнозировано правильно, но в цифрах в таблице изначально есть погрешность, которая к </w:t>
      </w:r>
      <w:proofErr w:type="gramStart"/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концу  10</w:t>
      </w:r>
      <w:proofErr w:type="gramEnd"/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дней становится огромной.</w:t>
      </w:r>
      <w:r w:rsidRPr="00D33C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4075" cy="2828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A51"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0,5. </w:t>
      </w:r>
      <w:proofErr w:type="spellStart"/>
      <w:r w:rsidR="00180CA9"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Краудсорсинг</w:t>
      </w:r>
      <w:proofErr w:type="spellEnd"/>
      <w:r w:rsidR="00180CA9"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открытия новых объектов в галактике (</w:t>
      </w:r>
      <w:hyperlink r:id="rId21" w:history="1">
        <w:r w:rsidR="00180CA9" w:rsidRPr="00D33C53">
          <w:rPr>
            <w:rStyle w:val="a7"/>
            <w:rFonts w:ascii="Times New Roman" w:hAnsi="Times New Roman" w:cs="Times New Roman"/>
            <w:sz w:val="28"/>
            <w:szCs w:val="28"/>
          </w:rPr>
          <w:t>https://www.zooniverse.org/projects/marckuchner/backyard-worlds-planet-9</w:t>
        </w:r>
      </w:hyperlink>
      <w:r w:rsidR="00180CA9"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80CA9" w:rsidRPr="00D33C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15240</wp:posOffset>
            </wp:positionH>
            <wp:positionV relativeFrom="paragraph">
              <wp:posOffset>561975</wp:posOffset>
            </wp:positionV>
            <wp:extent cx="5676900" cy="2887980"/>
            <wp:effectExtent l="0" t="0" r="0" b="7620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0CA9"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</w:rPr>
        <w:t>Конечно, я не заставляю вас, сломя голову, бежать на улицу в новогоднюю ночь и фотографировать на кнопочный телефон небо. Однако, если вам вдруг посчастливилось увидеть в небе что-то странное, обязательно сделайте снимок и загрузите на этот сайт!</w:t>
      </w: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80CA9" w:rsidRPr="00D33C53" w:rsidRDefault="00152A51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</w:rPr>
        <w:t>4.</w:t>
      </w:r>
      <w:r w:rsidR="00180CA9" w:rsidRPr="00D33C53">
        <w:rPr>
          <w:rFonts w:ascii="Times New Roman" w:hAnsi="Times New Roman" w:cs="Times New Roman"/>
          <w:sz w:val="28"/>
          <w:szCs w:val="28"/>
        </w:rPr>
        <w:t xml:space="preserve">Работа я </w:t>
      </w:r>
      <w:proofErr w:type="spellStart"/>
      <w:r w:rsidR="00180CA9" w:rsidRPr="00D33C53">
        <w:rPr>
          <w:rFonts w:ascii="Times New Roman" w:hAnsi="Times New Roman" w:cs="Times New Roman"/>
          <w:sz w:val="28"/>
          <w:szCs w:val="28"/>
        </w:rPr>
        <w:t>Яндекс.Толока</w:t>
      </w:r>
      <w:proofErr w:type="spellEnd"/>
      <w:r w:rsidR="00180CA9" w:rsidRPr="00D33C53">
        <w:rPr>
          <w:rFonts w:ascii="Times New Roman" w:hAnsi="Times New Roman" w:cs="Times New Roman"/>
          <w:sz w:val="28"/>
          <w:szCs w:val="28"/>
        </w:rPr>
        <w:t>: выполнение заданий за вознаграждение</w:t>
      </w:r>
      <w:r w:rsidRPr="00D33C53">
        <w:rPr>
          <w:rFonts w:ascii="Times New Roman" w:hAnsi="Times New Roman" w:cs="Times New Roman"/>
          <w:sz w:val="28"/>
          <w:szCs w:val="28"/>
        </w:rPr>
        <w:br/>
        <w:t xml:space="preserve">Подобных сайтов в интернете очень много, но так как компания Яндекс Имеет хоть какую-то репутацию в </w:t>
      </w:r>
      <w:proofErr w:type="spellStart"/>
      <w:r w:rsidRPr="00D33C53">
        <w:rPr>
          <w:rFonts w:ascii="Times New Roman" w:hAnsi="Times New Roman" w:cs="Times New Roman"/>
          <w:sz w:val="28"/>
          <w:szCs w:val="28"/>
        </w:rPr>
        <w:t>рунете</w:t>
      </w:r>
      <w:proofErr w:type="spellEnd"/>
      <w:r w:rsidRPr="00D33C53">
        <w:rPr>
          <w:rFonts w:ascii="Times New Roman" w:hAnsi="Times New Roman" w:cs="Times New Roman"/>
          <w:sz w:val="28"/>
          <w:szCs w:val="28"/>
        </w:rPr>
        <w:t>, то пробовать р</w:t>
      </w:r>
      <w:r w:rsidR="00770488">
        <w:rPr>
          <w:rFonts w:ascii="Times New Roman" w:hAnsi="Times New Roman" w:cs="Times New Roman"/>
          <w:sz w:val="28"/>
          <w:szCs w:val="28"/>
        </w:rPr>
        <w:t>аботать мы будем именно в ней.</w:t>
      </w:r>
      <w:r w:rsidR="00770488">
        <w:rPr>
          <w:rFonts w:ascii="Times New Roman" w:hAnsi="Times New Roman" w:cs="Times New Roman"/>
          <w:sz w:val="28"/>
          <w:szCs w:val="28"/>
        </w:rPr>
        <w:br/>
      </w:r>
      <w:r w:rsidRPr="00D33C53">
        <w:rPr>
          <w:rFonts w:ascii="Times New Roman" w:hAnsi="Times New Roman" w:cs="Times New Roman"/>
          <w:sz w:val="28"/>
          <w:szCs w:val="28"/>
        </w:rPr>
        <w:t xml:space="preserve">проходим регистрацию на сайте </w:t>
      </w:r>
      <w:hyperlink r:id="rId23" w:history="1">
        <w:proofErr w:type="gramStart"/>
        <w:r w:rsidRPr="00D33C53">
          <w:rPr>
            <w:rStyle w:val="a7"/>
            <w:rFonts w:ascii="Times New Roman" w:hAnsi="Times New Roman" w:cs="Times New Roman"/>
            <w:sz w:val="28"/>
            <w:szCs w:val="28"/>
          </w:rPr>
          <w:t>https://toloka.yandex.ru/signup</w:t>
        </w:r>
      </w:hyperlink>
      <w:r w:rsidRPr="00770488">
        <w:rPr>
          <w:rFonts w:ascii="Times New Roman" w:hAnsi="Times New Roman" w:cs="Times New Roman"/>
          <w:sz w:val="28"/>
          <w:szCs w:val="28"/>
        </w:rPr>
        <w:t xml:space="preserve"> </w:t>
      </w:r>
      <w:r w:rsidR="00D33C53" w:rsidRPr="00D33C5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80CA9" w:rsidRPr="00D33C53" w:rsidRDefault="00180CA9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</w:rPr>
        <w:t xml:space="preserve">Здесь всё просто: заходите на платформу, регистрируетесь и выполняете задания за вознаграждение в рамках </w:t>
      </w:r>
      <w:proofErr w:type="spellStart"/>
      <w:r w:rsidRPr="00D33C53">
        <w:rPr>
          <w:rFonts w:ascii="Times New Roman" w:hAnsi="Times New Roman" w:cs="Times New Roman"/>
          <w:sz w:val="28"/>
          <w:szCs w:val="28"/>
        </w:rPr>
        <w:t>краудсорсинга</w:t>
      </w:r>
      <w:proofErr w:type="spellEnd"/>
      <w:r w:rsidRPr="00D33C53">
        <w:rPr>
          <w:rFonts w:ascii="Times New Roman" w:hAnsi="Times New Roman" w:cs="Times New Roman"/>
          <w:sz w:val="28"/>
          <w:szCs w:val="28"/>
        </w:rPr>
        <w:t>.</w:t>
      </w:r>
    </w:p>
    <w:p w:rsidR="00180CA9" w:rsidRPr="00D33C53" w:rsidRDefault="00180CA9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22371" cy="4219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35" cy="422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A51" w:rsidRPr="00D33C53" w:rsidRDefault="00152A51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</w:rPr>
        <w:t>Попробуйте сделать любое задание и вышлите скриншот.</w:t>
      </w:r>
    </w:p>
    <w:p w:rsidR="00770488" w:rsidRDefault="00770488" w:rsidP="00D33C53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0B06C2" w:rsidRPr="00D33C53" w:rsidRDefault="000B06C2" w:rsidP="00D33C53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D33C53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Вывод</w:t>
      </w:r>
    </w:p>
    <w:p w:rsidR="000B06C2" w:rsidRPr="00D33C53" w:rsidRDefault="000B06C2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</w:rPr>
        <w:t xml:space="preserve">Таким образом, нейронные сети уже сейчас оказывают огромное влияние на развитие таких областей, как картография, прогнозирование в различных сферах, рисование. Вполне вероятно, что в ближайшем будущем технология будет совершенствоваться, а погрешности в таких расчетах – уменьшаться. </w:t>
      </w:r>
    </w:p>
    <w:p w:rsidR="00D33C53" w:rsidRPr="00D33C53" w:rsidRDefault="00D33C53" w:rsidP="00D33C53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33C53" w:rsidRPr="00D33C53" w:rsidRDefault="00D33C53" w:rsidP="00D33C53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33C53" w:rsidRPr="00D33C53" w:rsidRDefault="00D33C53" w:rsidP="00D33C53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33C53" w:rsidRPr="00D33C53" w:rsidRDefault="00D33C53" w:rsidP="00D33C53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33C53" w:rsidRPr="00D33C53" w:rsidRDefault="00D33C53" w:rsidP="00D33C53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33C53" w:rsidRPr="00D33C53" w:rsidRDefault="00D33C53" w:rsidP="00D33C53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33C53" w:rsidRPr="00D33C53" w:rsidRDefault="00D33C53" w:rsidP="00D33C53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33C53" w:rsidRPr="00D33C53" w:rsidRDefault="00D33C53" w:rsidP="00D33C53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0B06C2" w:rsidRPr="00D33C53" w:rsidRDefault="000B06C2" w:rsidP="00D33C53">
      <w:pPr>
        <w:spacing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D33C53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lastRenderedPageBreak/>
        <w:t>Материалы для закрепления изученного</w:t>
      </w:r>
    </w:p>
    <w:p w:rsidR="000B06C2" w:rsidRPr="00D33C53" w:rsidRDefault="000B06C2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33C53">
        <w:rPr>
          <w:rFonts w:ascii="Times New Roman" w:hAnsi="Times New Roman" w:cs="Times New Roman"/>
          <w:sz w:val="28"/>
          <w:szCs w:val="28"/>
        </w:rPr>
        <w:t>Кроссворд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0B06C2" w:rsidRPr="00D33C53" w:rsidRDefault="000B06C2" w:rsidP="00D33C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4417E" w:rsidRPr="00D33C53" w:rsidRDefault="0084417E" w:rsidP="00D33C5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1C28" w:rsidRPr="00D33C53" w:rsidRDefault="00481C28" w:rsidP="00D33C53">
      <w:pPr>
        <w:pStyle w:val="a8"/>
        <w:numPr>
          <w:ilvl w:val="0"/>
          <w:numId w:val="3"/>
        </w:numPr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Краудсорсинг в своей работе руководствуется так называемой «…»</w:t>
      </w:r>
    </w:p>
    <w:p w:rsidR="00481C28" w:rsidRPr="00D33C53" w:rsidRDefault="00481C28" w:rsidP="00D33C53">
      <w:pPr>
        <w:pStyle w:val="a8"/>
        <w:numPr>
          <w:ilvl w:val="0"/>
          <w:numId w:val="3"/>
        </w:numPr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Привлечение к решению тех или иных проблем инновационной производственной деятельности широкого круга лиц для использования их творческих способностей, знаний и опыта по типу субподрядной работы на добровольных началах с применением инфокоммуникационных технологий.</w:t>
      </w:r>
    </w:p>
    <w:p w:rsidR="00481C28" w:rsidRPr="00D33C53" w:rsidRDefault="00481C28" w:rsidP="00D33C53">
      <w:pPr>
        <w:pStyle w:val="a8"/>
        <w:numPr>
          <w:ilvl w:val="0"/>
          <w:numId w:val="3"/>
        </w:numPr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Математическая модель, а также её программное или аппаратное воплощение, построенная по принципу организации и функционирования биологических нейронных сетей — сетей нервных клеток живого организма.</w:t>
      </w:r>
    </w:p>
    <w:p w:rsidR="00481C28" w:rsidRPr="00D33C53" w:rsidRDefault="00481C28" w:rsidP="00D33C53">
      <w:pPr>
        <w:pStyle w:val="a8"/>
        <w:numPr>
          <w:ilvl w:val="0"/>
          <w:numId w:val="3"/>
        </w:numPr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Одна из самых известных краудсорсинговых платформ носит название «</w:t>
      </w:r>
      <w:proofErr w:type="gramStart"/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Яндекс….</w:t>
      </w:r>
      <w:proofErr w:type="gramEnd"/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481C28" w:rsidRPr="00D33C53" w:rsidRDefault="00481C28" w:rsidP="00D33C53">
      <w:pPr>
        <w:pStyle w:val="a8"/>
        <w:numPr>
          <w:ilvl w:val="0"/>
          <w:numId w:val="3"/>
        </w:numPr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В отличие от других технологий, нейросети предназначены для решения конкретных…</w:t>
      </w:r>
    </w:p>
    <w:p w:rsidR="00481C28" w:rsidRPr="00D33C53" w:rsidRDefault="00481C28" w:rsidP="00D33C53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C53" w:rsidRPr="00D33C53" w:rsidRDefault="00D33C53" w:rsidP="00D33C53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C53" w:rsidRPr="00D33C53" w:rsidRDefault="00D33C53" w:rsidP="00D33C53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C53" w:rsidRPr="00D33C53" w:rsidRDefault="00D33C53" w:rsidP="00D33C53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C53" w:rsidRPr="00D33C53" w:rsidRDefault="00D33C53" w:rsidP="00D33C53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C53" w:rsidRPr="00D33C53" w:rsidRDefault="00D33C53" w:rsidP="00D33C53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C53" w:rsidRPr="00D33C53" w:rsidRDefault="00D33C53" w:rsidP="00D33C53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3C53" w:rsidRPr="00D33C53" w:rsidRDefault="00D33C53" w:rsidP="00D33C53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81C28" w:rsidRPr="00D33C53" w:rsidRDefault="00481C28" w:rsidP="00D33C53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3C53"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кроссворд: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81C28" w:rsidRPr="00D33C53" w:rsidTr="00152A51">
        <w:trPr>
          <w:trHeight w:val="330"/>
        </w:trPr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EEEEEE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" w:type="dxa"/>
            <w:vAlign w:val="center"/>
            <w:hideMark/>
          </w:tcPr>
          <w:p w:rsidR="00481C28" w:rsidRPr="00D33C53" w:rsidRDefault="00481C28" w:rsidP="00D33C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C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481C28" w:rsidRPr="00D33C53" w:rsidRDefault="00481C28" w:rsidP="00D33C53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81C28" w:rsidRPr="00D33C53" w:rsidSect="00D33C5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800B2"/>
    <w:multiLevelType w:val="hybridMultilevel"/>
    <w:tmpl w:val="D9D41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5C73"/>
    <w:multiLevelType w:val="hybridMultilevel"/>
    <w:tmpl w:val="049AEAF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B5D62BF"/>
    <w:multiLevelType w:val="hybridMultilevel"/>
    <w:tmpl w:val="FF224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831ED"/>
    <w:multiLevelType w:val="hybridMultilevel"/>
    <w:tmpl w:val="34200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8251D"/>
    <w:multiLevelType w:val="hybridMultilevel"/>
    <w:tmpl w:val="E2D6C02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7FD25F21"/>
    <w:multiLevelType w:val="hybridMultilevel"/>
    <w:tmpl w:val="E17E1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73"/>
    <w:rsid w:val="00034BA2"/>
    <w:rsid w:val="00062C15"/>
    <w:rsid w:val="000B06C2"/>
    <w:rsid w:val="000C6387"/>
    <w:rsid w:val="000C7057"/>
    <w:rsid w:val="00152A51"/>
    <w:rsid w:val="00180CA9"/>
    <w:rsid w:val="001A0921"/>
    <w:rsid w:val="001A5FDD"/>
    <w:rsid w:val="001C0B80"/>
    <w:rsid w:val="001F3D7F"/>
    <w:rsid w:val="00224661"/>
    <w:rsid w:val="002372B0"/>
    <w:rsid w:val="0025064A"/>
    <w:rsid w:val="00277EB2"/>
    <w:rsid w:val="0032401B"/>
    <w:rsid w:val="003428D2"/>
    <w:rsid w:val="003433DE"/>
    <w:rsid w:val="003749CA"/>
    <w:rsid w:val="003E7CC4"/>
    <w:rsid w:val="00420404"/>
    <w:rsid w:val="00421C4C"/>
    <w:rsid w:val="004755CB"/>
    <w:rsid w:val="00481C28"/>
    <w:rsid w:val="0048260E"/>
    <w:rsid w:val="004E1D8B"/>
    <w:rsid w:val="00521A03"/>
    <w:rsid w:val="00531555"/>
    <w:rsid w:val="00571073"/>
    <w:rsid w:val="00577472"/>
    <w:rsid w:val="005F1FAB"/>
    <w:rsid w:val="006641F0"/>
    <w:rsid w:val="00697BC3"/>
    <w:rsid w:val="00770488"/>
    <w:rsid w:val="007A4473"/>
    <w:rsid w:val="008106D7"/>
    <w:rsid w:val="00823014"/>
    <w:rsid w:val="00840F5A"/>
    <w:rsid w:val="0084417E"/>
    <w:rsid w:val="00846E8F"/>
    <w:rsid w:val="0085359E"/>
    <w:rsid w:val="00871545"/>
    <w:rsid w:val="0087372B"/>
    <w:rsid w:val="008B1CC6"/>
    <w:rsid w:val="008F6981"/>
    <w:rsid w:val="00970AC0"/>
    <w:rsid w:val="009D54E8"/>
    <w:rsid w:val="00A65969"/>
    <w:rsid w:val="00AC02D0"/>
    <w:rsid w:val="00AE7E99"/>
    <w:rsid w:val="00B079EF"/>
    <w:rsid w:val="00B218CD"/>
    <w:rsid w:val="00B511EB"/>
    <w:rsid w:val="00BA07E8"/>
    <w:rsid w:val="00BB4C68"/>
    <w:rsid w:val="00BF5190"/>
    <w:rsid w:val="00C3128E"/>
    <w:rsid w:val="00CC03BE"/>
    <w:rsid w:val="00CF297E"/>
    <w:rsid w:val="00CF6D4C"/>
    <w:rsid w:val="00D17166"/>
    <w:rsid w:val="00D33C53"/>
    <w:rsid w:val="00D650E8"/>
    <w:rsid w:val="00D96604"/>
    <w:rsid w:val="00DB52CA"/>
    <w:rsid w:val="00DD2E23"/>
    <w:rsid w:val="00E260D0"/>
    <w:rsid w:val="00E33CAD"/>
    <w:rsid w:val="00EF2BFB"/>
    <w:rsid w:val="00EF2D59"/>
    <w:rsid w:val="00F01763"/>
    <w:rsid w:val="00F127A5"/>
    <w:rsid w:val="00F13AAE"/>
    <w:rsid w:val="00F322C4"/>
    <w:rsid w:val="00FB18F4"/>
    <w:rsid w:val="00FD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9F6D30-EA40-4096-952C-3D3CAC18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C68"/>
  </w:style>
  <w:style w:type="paragraph" w:styleId="1">
    <w:name w:val="heading 1"/>
    <w:basedOn w:val="a"/>
    <w:next w:val="a"/>
    <w:link w:val="10"/>
    <w:uiPriority w:val="9"/>
    <w:qFormat/>
    <w:rsid w:val="00277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4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44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A44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697B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697B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77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277EB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24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F127A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C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C03BE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74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3749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3">
    <w:name w:val="Light Shading Accent 3"/>
    <w:basedOn w:val="a1"/>
    <w:uiPriority w:val="60"/>
    <w:rsid w:val="00521A0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c">
    <w:name w:val="Light Shading"/>
    <w:basedOn w:val="a1"/>
    <w:uiPriority w:val="60"/>
    <w:rsid w:val="003428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6">
    <w:name w:val="List Table 2 Accent 6"/>
    <w:basedOn w:val="a1"/>
    <w:uiPriority w:val="47"/>
    <w:rsid w:val="003E7CC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d">
    <w:name w:val="No Spacing"/>
    <w:uiPriority w:val="1"/>
    <w:qFormat/>
    <w:rsid w:val="004E1D8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AE7E9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D33C5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agenta.tensorflow.org/assets/sketch_rnn_demo/index.html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zooniverse.org/projects/marckuchner/backyard-worlds-planet-9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habr.com/post/396505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VqowxsIiuX0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toloka.yandex.ru/signu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311C33F-905F-4830-8B02-EAA8562FE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Мисик</dc:creator>
  <cp:lastModifiedBy>zui172488@gmail.com</cp:lastModifiedBy>
  <cp:revision>4</cp:revision>
  <dcterms:created xsi:type="dcterms:W3CDTF">2018-12-25T10:24:00Z</dcterms:created>
  <dcterms:modified xsi:type="dcterms:W3CDTF">2018-12-25T21:21:00Z</dcterms:modified>
</cp:coreProperties>
</file>