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0"/>
      </w:pPr>
      <w:r>
        <w:rPr>
          <w:sz w:val="22"/>
          <w:szCs w:val="22"/>
        </w:rPr>
        <w:t xml:space="preserve"/>
      </w:r>
    </w:p>
    <w:p>
      <w:pPr>
        <w:spacing w:before="0" w:after="80"/>
        <w:jc w:val="center"/>
      </w:pPr>
      <w:r>
        <w:rPr>
          <w:rFonts w:ascii="Arial" w:cs="Arial" w:eastAsia="Arial" w:hAnsi="Arial"/>
          <w:b/>
          <w:bCs/>
          <w:color w:val="1565C0"/>
          <w:sz w:val="52"/>
          <w:szCs w:val="52"/>
        </w:rPr>
        <w:t xml:space="preserve">RAPPORT D'AUDIT</w:t>
      </w:r>
    </w:p>
    <w:p>
      <w:pPr>
        <w:pBdr>
          <w:bottom w:val="single" w:color="42A5F5" w:sz="12" w:space="8"/>
        </w:pBdr>
        <w:spacing w:before="0" w:after="200"/>
        <w:jc w:val="center"/>
      </w:pPr>
      <w:r>
        <w:rPr>
          <w:rFonts w:ascii="Arial" w:cs="Arial" w:eastAsia="Arial" w:hAnsi="Arial"/>
          <w:b/>
          <w:bCs/>
          <w:color w:val="1976D2"/>
          <w:sz w:val="32"/>
          <w:szCs w:val="32"/>
        </w:rPr>
        <w:t xml:space="preserve">Détection d'Anomalies dans les Écritures Comptables</w:t>
      </w:r>
    </w:p>
    <w:p>
      <w:pPr>
        <w:spacing w:before="200" w:after="0"/>
      </w:pPr>
      <w:r>
        <w:rPr>
          <w:sz w:val="22"/>
          <w:szCs w:val="22"/>
        </w:rPr>
        <w:t xml:space="preserve"/>
      </w:r>
    </w:p>
    <w:p>
      <w:pPr>
        <w:spacing w:before="0" w:after="80"/>
        <w:jc w:val="center"/>
      </w:pPr>
      <w:r>
        <w:rPr>
          <w:rFonts w:ascii="Arial" w:cs="Arial" w:eastAsia="Arial" w:hAnsi="Arial"/>
          <w:i/>
          <w:iCs/>
          <w:color w:val="555555"/>
          <w:sz w:val="26"/>
          <w:szCs w:val="26"/>
        </w:rPr>
        <w:t xml:space="preserve">Application de la Loi de Benford et du Machine Learning</w:t>
      </w:r>
    </w:p>
    <w:p>
      <w:pPr>
        <w:spacing w:before="600" w:after="0"/>
      </w:pPr>
      <w:r>
        <w:rPr>
          <w:sz w:val="22"/>
          <w:szCs w:val="22"/>
        </w:rP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tblGrid>
      <w:tr>
        <w:tc>
          <w:tcPr>
            <w:tcW w:type="dxa" w:w="2800"/>
            <w:tcBorders>
              <w:top w:val="single" w:color="D0D0D0" w:sz="4"/>
              <w:left w:val="single" w:color="D0D0D0" w:sz="4"/>
              <w:bottom w:val="single" w:color="D0D0D0" w:sz="4"/>
              <w:right w:val="single" w:color="D0D0D0" w:sz="4"/>
            </w:tcBorders>
            <w:shd w:fill="E3F2FD" w:val="clear"/>
            <w:tcMar>
              <w:top w:type="dxa" w:w="100"/>
              <w:left w:type="dxa" w:w="160"/>
              <w:bottom w:type="dxa" w:w="100"/>
              <w:right w:type="dxa" w:w="160"/>
            </w:tcMar>
          </w:tcPr>
          <w:p>
            <w:r>
              <w:rPr>
                <w:rFonts w:ascii="Arial" w:cs="Arial" w:eastAsia="Arial" w:hAnsi="Arial"/>
                <w:b/>
                <w:bCs/>
                <w:color w:val="1565C0"/>
                <w:sz w:val="21"/>
                <w:szCs w:val="21"/>
              </w:rPr>
              <w:t xml:space="preserve">Domaine</w:t>
            </w:r>
          </w:p>
        </w:tc>
        <w:tc>
          <w:tcPr>
            <w:tcW w:type="dxa" w:w="4200"/>
            <w:tcBorders>
              <w:top w:val="single" w:color="D0D0D0" w:sz="4"/>
              <w:left w:val="single" w:color="D0D0D0" w:sz="4"/>
              <w:bottom w:val="single" w:color="D0D0D0" w:sz="4"/>
              <w:right w:val="single" w:color="D0D0D0" w:sz="4"/>
            </w:tcBorders>
            <w:shd w:fill="FFFFFF" w:val="clear"/>
            <w:tcMar>
              <w:top w:type="dxa" w:w="100"/>
              <w:left w:type="dxa" w:w="160"/>
              <w:bottom w:type="dxa" w:w="100"/>
              <w:right w:type="dxa" w:w="160"/>
            </w:tcMar>
          </w:tcPr>
          <w:p>
            <w:r>
              <w:rPr>
                <w:rFonts w:ascii="Arial" w:cs="Arial" w:eastAsia="Arial" w:hAnsi="Arial"/>
                <w:color w:val="212121"/>
                <w:sz w:val="21"/>
                <w:szCs w:val="21"/>
              </w:rPr>
              <w:t xml:space="preserve">Audit Comptable &amp; Forensique</w:t>
            </w:r>
          </w:p>
        </w:tc>
      </w:tr>
      <w:tr>
        <w:tc>
          <w:tcPr>
            <w:tcW w:type="dxa" w:w="2800"/>
            <w:tcBorders>
              <w:top w:val="single" w:color="D0D0D0" w:sz="4"/>
              <w:left w:val="single" w:color="D0D0D0" w:sz="4"/>
              <w:bottom w:val="single" w:color="D0D0D0" w:sz="4"/>
              <w:right w:val="single" w:color="D0D0D0" w:sz="4"/>
            </w:tcBorders>
            <w:shd w:fill="E3F2FD" w:val="clear"/>
            <w:tcMar>
              <w:top w:type="dxa" w:w="100"/>
              <w:left w:type="dxa" w:w="160"/>
              <w:bottom w:type="dxa" w:w="100"/>
              <w:right w:type="dxa" w:w="160"/>
            </w:tcMar>
          </w:tcPr>
          <w:p>
            <w:r>
              <w:rPr>
                <w:rFonts w:ascii="Arial" w:cs="Arial" w:eastAsia="Arial" w:hAnsi="Arial"/>
                <w:b/>
                <w:bCs/>
                <w:color w:val="1565C0"/>
                <w:sz w:val="21"/>
                <w:szCs w:val="21"/>
              </w:rPr>
              <w:t xml:space="preserve">Méthodologie</w:t>
            </w:r>
          </w:p>
        </w:tc>
        <w:tc>
          <w:tcPr>
            <w:tcW w:type="dxa" w:w="4200"/>
            <w:tcBorders>
              <w:top w:val="single" w:color="D0D0D0" w:sz="4"/>
              <w:left w:val="single" w:color="D0D0D0" w:sz="4"/>
              <w:bottom w:val="single" w:color="D0D0D0" w:sz="4"/>
              <w:right w:val="single" w:color="D0D0D0" w:sz="4"/>
            </w:tcBorders>
            <w:shd w:fill="FFFFFF" w:val="clear"/>
            <w:tcMar>
              <w:top w:type="dxa" w:w="100"/>
              <w:left w:type="dxa" w:w="160"/>
              <w:bottom w:type="dxa" w:w="100"/>
              <w:right w:type="dxa" w:w="160"/>
            </w:tcMar>
          </w:tcPr>
          <w:p>
            <w:r>
              <w:rPr>
                <w:rFonts w:ascii="Arial" w:cs="Arial" w:eastAsia="Arial" w:hAnsi="Arial"/>
                <w:color w:val="212121"/>
                <w:sz w:val="21"/>
                <w:szCs w:val="21"/>
              </w:rPr>
              <w:t xml:space="preserve">Loi de Benford + Random Forest + Isolation Forest</w:t>
            </w:r>
          </w:p>
        </w:tc>
      </w:tr>
      <w:tr>
        <w:tc>
          <w:tcPr>
            <w:tcW w:type="dxa" w:w="2800"/>
            <w:tcBorders>
              <w:top w:val="single" w:color="D0D0D0" w:sz="4"/>
              <w:left w:val="single" w:color="D0D0D0" w:sz="4"/>
              <w:bottom w:val="single" w:color="D0D0D0" w:sz="4"/>
              <w:right w:val="single" w:color="D0D0D0" w:sz="4"/>
            </w:tcBorders>
            <w:shd w:fill="E3F2FD" w:val="clear"/>
            <w:tcMar>
              <w:top w:type="dxa" w:w="100"/>
              <w:left w:type="dxa" w:w="160"/>
              <w:bottom w:type="dxa" w:w="100"/>
              <w:right w:type="dxa" w:w="160"/>
            </w:tcMar>
          </w:tcPr>
          <w:p>
            <w:r>
              <w:rPr>
                <w:rFonts w:ascii="Arial" w:cs="Arial" w:eastAsia="Arial" w:hAnsi="Arial"/>
                <w:b/>
                <w:bCs/>
                <w:color w:val="1565C0"/>
                <w:sz w:val="21"/>
                <w:szCs w:val="21"/>
              </w:rPr>
              <w:t xml:space="preserve">Dataset</w:t>
            </w:r>
          </w:p>
        </w:tc>
        <w:tc>
          <w:tcPr>
            <w:tcW w:type="dxa" w:w="4200"/>
            <w:tcBorders>
              <w:top w:val="single" w:color="D0D0D0" w:sz="4"/>
              <w:left w:val="single" w:color="D0D0D0" w:sz="4"/>
              <w:bottom w:val="single" w:color="D0D0D0" w:sz="4"/>
              <w:right w:val="single" w:color="D0D0D0" w:sz="4"/>
            </w:tcBorders>
            <w:shd w:fill="FFFFFF" w:val="clear"/>
            <w:tcMar>
              <w:top w:type="dxa" w:w="100"/>
              <w:left w:type="dxa" w:w="160"/>
              <w:bottom w:type="dxa" w:w="100"/>
              <w:right w:type="dxa" w:w="160"/>
            </w:tcMar>
          </w:tcPr>
          <w:p>
            <w:r>
              <w:rPr>
                <w:rFonts w:ascii="Arial" w:cs="Arial" w:eastAsia="Arial" w:hAnsi="Arial"/>
                <w:color w:val="212121"/>
                <w:sz w:val="21"/>
                <w:szCs w:val="21"/>
              </w:rPr>
              <w:t xml:space="preserve">500 écritures comptables (45 suspects)</w:t>
            </w:r>
          </w:p>
        </w:tc>
      </w:tr>
      <w:tr>
        <w:tc>
          <w:tcPr>
            <w:tcW w:type="dxa" w:w="2800"/>
            <w:tcBorders>
              <w:top w:val="single" w:color="D0D0D0" w:sz="4"/>
              <w:left w:val="single" w:color="D0D0D0" w:sz="4"/>
              <w:bottom w:val="single" w:color="D0D0D0" w:sz="4"/>
              <w:right w:val="single" w:color="D0D0D0" w:sz="4"/>
            </w:tcBorders>
            <w:shd w:fill="E3F2FD" w:val="clear"/>
            <w:tcMar>
              <w:top w:type="dxa" w:w="100"/>
              <w:left w:type="dxa" w:w="160"/>
              <w:bottom w:type="dxa" w:w="100"/>
              <w:right w:type="dxa" w:w="160"/>
            </w:tcMar>
          </w:tcPr>
          <w:p>
            <w:r>
              <w:rPr>
                <w:rFonts w:ascii="Arial" w:cs="Arial" w:eastAsia="Arial" w:hAnsi="Arial"/>
                <w:b/>
                <w:bCs/>
                <w:color w:val="1565C0"/>
                <w:sz w:val="21"/>
                <w:szCs w:val="21"/>
              </w:rPr>
              <w:t xml:space="preserve">Outils</w:t>
            </w:r>
          </w:p>
        </w:tc>
        <w:tc>
          <w:tcPr>
            <w:tcW w:type="dxa" w:w="4200"/>
            <w:tcBorders>
              <w:top w:val="single" w:color="D0D0D0" w:sz="4"/>
              <w:left w:val="single" w:color="D0D0D0" w:sz="4"/>
              <w:bottom w:val="single" w:color="D0D0D0" w:sz="4"/>
              <w:right w:val="single" w:color="D0D0D0" w:sz="4"/>
            </w:tcBorders>
            <w:shd w:fill="FFFFFF" w:val="clear"/>
            <w:tcMar>
              <w:top w:type="dxa" w:w="100"/>
              <w:left w:type="dxa" w:w="160"/>
              <w:bottom w:type="dxa" w:w="100"/>
              <w:right w:type="dxa" w:w="160"/>
            </w:tcMar>
          </w:tcPr>
          <w:p>
            <w:r>
              <w:rPr>
                <w:rFonts w:ascii="Arial" w:cs="Arial" w:eastAsia="Arial" w:hAnsi="Arial"/>
                <w:color w:val="212121"/>
                <w:sz w:val="21"/>
                <w:szCs w:val="21"/>
              </w:rPr>
              <w:t xml:space="preserve">Python, scikit-learn, pandas, matplotlib</w:t>
            </w:r>
          </w:p>
        </w:tc>
      </w:tr>
      <w:tr>
        <w:tc>
          <w:tcPr>
            <w:tcW w:type="dxa" w:w="2800"/>
            <w:tcBorders>
              <w:top w:val="single" w:color="D0D0D0" w:sz="4"/>
              <w:left w:val="single" w:color="D0D0D0" w:sz="4"/>
              <w:bottom w:val="single" w:color="D0D0D0" w:sz="4"/>
              <w:right w:val="single" w:color="D0D0D0" w:sz="4"/>
            </w:tcBorders>
            <w:shd w:fill="E3F2FD" w:val="clear"/>
            <w:tcMar>
              <w:top w:type="dxa" w:w="100"/>
              <w:left w:type="dxa" w:w="160"/>
              <w:bottom w:type="dxa" w:w="100"/>
              <w:right w:type="dxa" w:w="160"/>
            </w:tcMar>
          </w:tcPr>
          <w:p>
            <w:r>
              <w:rPr>
                <w:rFonts w:ascii="Arial" w:cs="Arial" w:eastAsia="Arial" w:hAnsi="Arial"/>
                <w:b/>
                <w:bCs/>
                <w:color w:val="1565C0"/>
                <w:sz w:val="21"/>
                <w:szCs w:val="21"/>
              </w:rPr>
              <w:t xml:space="preserve">Date</w:t>
            </w:r>
          </w:p>
        </w:tc>
        <w:tc>
          <w:tcPr>
            <w:tcW w:type="dxa" w:w="4200"/>
            <w:tcBorders>
              <w:top w:val="single" w:color="D0D0D0" w:sz="4"/>
              <w:left w:val="single" w:color="D0D0D0" w:sz="4"/>
              <w:bottom w:val="single" w:color="D0D0D0" w:sz="4"/>
              <w:right w:val="single" w:color="D0D0D0" w:sz="4"/>
            </w:tcBorders>
            <w:shd w:fill="FFFFFF" w:val="clear"/>
            <w:tcMar>
              <w:top w:type="dxa" w:w="100"/>
              <w:left w:type="dxa" w:w="160"/>
              <w:bottom w:type="dxa" w:w="100"/>
              <w:right w:type="dxa" w:w="160"/>
            </w:tcMar>
          </w:tcPr>
          <w:p>
            <w:r>
              <w:rPr>
                <w:rFonts w:ascii="Arial" w:cs="Arial" w:eastAsia="Arial" w:hAnsi="Arial"/>
                <w:color w:val="212121"/>
                <w:sz w:val="21"/>
                <w:szCs w:val="21"/>
              </w:rPr>
              <w:t xml:space="preserve">24 mars 2026</w:t>
            </w:r>
          </w:p>
        </w:tc>
      </w:tr>
      <w:tr>
        <w:tc>
          <w:tcPr>
            <w:tcW w:type="dxa" w:w="2800"/>
            <w:tcBorders>
              <w:top w:val="single" w:color="D0D0D0" w:sz="4"/>
              <w:left w:val="single" w:color="D0D0D0" w:sz="4"/>
              <w:bottom w:val="single" w:color="D0D0D0" w:sz="4"/>
              <w:right w:val="single" w:color="D0D0D0" w:sz="4"/>
            </w:tcBorders>
            <w:shd w:fill="E3F2FD" w:val="clear"/>
            <w:tcMar>
              <w:top w:type="dxa" w:w="100"/>
              <w:left w:type="dxa" w:w="160"/>
              <w:bottom w:type="dxa" w:w="100"/>
              <w:right w:type="dxa" w:w="160"/>
            </w:tcMar>
          </w:tcPr>
          <w:p>
            <w:r>
              <w:rPr>
                <w:rFonts w:ascii="Arial" w:cs="Arial" w:eastAsia="Arial" w:hAnsi="Arial"/>
                <w:b/>
                <w:bCs/>
                <w:color w:val="1565C0"/>
                <w:sz w:val="21"/>
                <w:szCs w:val="21"/>
              </w:rPr>
              <w:t xml:space="preserve">Statut</w:t>
            </w:r>
          </w:p>
        </w:tc>
        <w:tc>
          <w:tcPr>
            <w:tcW w:type="dxa" w:w="4200"/>
            <w:tcBorders>
              <w:top w:val="single" w:color="D0D0D0" w:sz="4"/>
              <w:left w:val="single" w:color="D0D0D0" w:sz="4"/>
              <w:bottom w:val="single" w:color="D0D0D0" w:sz="4"/>
              <w:right w:val="single" w:color="D0D0D0" w:sz="4"/>
            </w:tcBorders>
            <w:shd w:fill="FFFFFF" w:val="clear"/>
            <w:tcMar>
              <w:top w:type="dxa" w:w="100"/>
              <w:left w:type="dxa" w:w="160"/>
              <w:bottom w:type="dxa" w:w="100"/>
              <w:right w:type="dxa" w:w="160"/>
            </w:tcMar>
          </w:tcPr>
          <w:p>
            <w:r>
              <w:rPr>
                <w:rFonts w:ascii="Arial" w:cs="Arial" w:eastAsia="Arial" w:hAnsi="Arial"/>
                <w:color w:val="212121"/>
                <w:sz w:val="21"/>
                <w:szCs w:val="21"/>
              </w:rPr>
              <w:t xml:space="preserve">CONFIDENTIEL</w:t>
            </w:r>
          </w:p>
        </w:tc>
      </w:tr>
    </w:tbl>
    <w:p>
      <w:pPr>
        <w:spacing w:before="300" w:after="0"/>
      </w:pPr>
      <w:r>
        <w:rPr>
          <w:sz w:val="22"/>
          <w:szCs w:val="22"/>
        </w:rPr>
        <w:t xml:space="preserve"/>
      </w:r>
    </w:p>
    <w:p>
      <w:pPr>
        <w:pBdr>
          <w:top w:val="single" w:color="BDBDBD" w:sz="4"/>
        </w:pBdr>
        <w:spacing w:before="200" w:after="0"/>
        <w:jc w:val="center"/>
      </w:pPr>
      <w:r>
        <w:rPr>
          <w:rFonts w:ascii="Arial" w:cs="Arial" w:eastAsia="Arial" w:hAnsi="Arial"/>
          <w:i/>
          <w:iCs/>
          <w:color w:val="999999"/>
          <w:sz w:val="18"/>
          <w:szCs w:val="18"/>
        </w:rPr>
        <w:t xml:space="preserve">Ce rapport est généré automatiquement à des fins d'audit interne</w:t>
      </w:r>
    </w:p>
    <w:p>
      <w:r>
        <w:br w:type="page"/>
      </w:r>
    </w:p>
    <w:p>
      <w:pPr>
        <w:pStyle w:val="Heading1"/>
        <w:pBdr>
          <w:bottom w:val="single" w:color="1976D2" w:sz="8" w:space="4"/>
        </w:pBdr>
        <w:spacing w:before="320" w:after="160"/>
      </w:pPr>
      <w:r>
        <w:rPr>
          <w:rFonts w:ascii="Arial" w:cs="Arial" w:eastAsia="Arial" w:hAnsi="Arial"/>
          <w:b/>
          <w:bCs/>
          <w:color w:val="1565C0"/>
          <w:sz w:val="30"/>
          <w:szCs w:val="30"/>
        </w:rPr>
        <w:t xml:space="preserve">1. Contexte et Objectifs</w:t>
      </w:r>
    </w:p>
    <w:p>
      <w:pPr>
        <w:spacing w:before="80" w:after="120"/>
        <w:jc w:val="left"/>
      </w:pPr>
      <w:r>
        <w:rPr>
          <w:rFonts w:ascii="Arial" w:cs="Arial" w:eastAsia="Arial" w:hAnsi="Arial"/>
          <w:b w:val="false"/>
          <w:bCs w:val="false"/>
          <w:i w:val="false"/>
          <w:iCs w:val="false"/>
          <w:color w:val="212121"/>
          <w:sz w:val="22"/>
          <w:szCs w:val="22"/>
        </w:rPr>
        <w:t xml:space="preserve">La détection des anomalies comptables constitue un enjeu central pour les auditeurs internes et externes. Dans un contexte où les fraudes financières et les erreurs comptables représentent des risques significatifs pour les organisations, il est impératif de développer des outils analytiques robustes capables d'identifier les écritures suspectes de manière efficace et systématique.</w:t>
      </w:r>
    </w:p>
    <w:p>
      <w:pPr>
        <w:spacing w:before="80" w:after="120"/>
        <w:jc w:val="left"/>
      </w:pPr>
      <w:r>
        <w:rPr>
          <w:rFonts w:ascii="Arial" w:cs="Arial" w:eastAsia="Arial" w:hAnsi="Arial"/>
          <w:b w:val="false"/>
          <w:bCs w:val="false"/>
          <w:i w:val="false"/>
          <w:iCs w:val="false"/>
          <w:color w:val="212121"/>
          <w:sz w:val="22"/>
          <w:szCs w:val="22"/>
        </w:rPr>
        <w:t xml:space="preserve">Ce rapport présente une approche hybride combinant des méthodes statistiques éprouvées — notamment la loi de Benford — avec des algorithmes de machine learning de pointe. Cette synergie permet non seulement de détecter des patterns anormaux dans les données comptables, mais aussi d'interpréter ces anomalies dans un contexte métier pertinent pour l'auditeur.</w:t>
      </w:r>
    </w:p>
    <w:p>
      <w:pPr>
        <w:spacing w:before="8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976D2" w:sz="12"/>
              <w:left w:val="single" w:color="1976D2" w:sz="12"/>
              <w:bottom w:val="single" w:color="1976D2" w:sz="4"/>
              <w:right w:val="single" w:color="1976D2" w:sz="4"/>
            </w:tcBorders>
            <w:shd w:fill="E3F2FD" w:val="clear"/>
            <w:tcMar>
              <w:top w:type="dxa" w:w="140"/>
              <w:left w:type="dxa" w:w="200"/>
              <w:bottom w:type="dxa" w:w="140"/>
              <w:right w:type="dxa" w:w="200"/>
            </w:tcMar>
          </w:tcPr>
          <w:p>
            <w:pPr>
              <w:spacing w:before="0" w:after="60"/>
            </w:pPr>
            <w:r>
              <w:rPr>
                <w:rFonts w:ascii="Arial" w:cs="Arial" w:eastAsia="Arial" w:hAnsi="Arial"/>
                <w:b/>
                <w:bCs/>
                <w:color w:val="1976D2"/>
                <w:sz w:val="22"/>
                <w:szCs w:val="22"/>
              </w:rPr>
              <w:t xml:space="preserve">Périmètre de l'analyse</w:t>
            </w:r>
          </w:p>
          <w:p>
            <w:pPr>
              <w:spacing w:before="0" w:after="0"/>
            </w:pPr>
            <w:r>
              <w:rPr>
                <w:rFonts w:ascii="Arial" w:cs="Arial" w:eastAsia="Arial" w:hAnsi="Arial"/>
                <w:color w:val="212121"/>
                <w:sz w:val="21"/>
                <w:szCs w:val="21"/>
              </w:rPr>
              <w:t xml:space="preserve">Dataset analysé : 500 écritures comptables issues d'un journal général. Parmi ces écritures, 45 ont été identifiées comme suspectes (9.0% du total), couvrant des typologies variées : montants ronds élevés, opérations hors heures ouvrées, fractionnement de paiements, et utilisateurs inhabituels.</w:t>
            </w:r>
          </w:p>
        </w:tc>
      </w:tr>
    </w:tbl>
    <w:p>
      <w:pPr>
        <w:spacing w:before="120" w:after="0"/>
      </w:pPr>
      <w:r>
        <w:rPr>
          <w:sz w:val="22"/>
          <w:szCs w:val="22"/>
        </w:rPr>
        <w:t xml:space="preserve"/>
      </w:r>
    </w:p>
    <w:p>
      <w:pPr>
        <w:pStyle w:val="Heading2"/>
        <w:spacing w:before="240" w:after="120"/>
      </w:pPr>
      <w:r>
        <w:rPr>
          <w:rFonts w:ascii="Arial" w:cs="Arial" w:eastAsia="Arial" w:hAnsi="Arial"/>
          <w:b/>
          <w:bCs/>
          <w:color w:val="1976D2"/>
          <w:sz w:val="25"/>
          <w:szCs w:val="25"/>
        </w:rPr>
        <w:t xml:space="preserve">1.1 Objectifs spécifiques</w:t>
      </w:r>
    </w:p>
    <w:p>
      <w:pPr>
        <w:pStyle w:val="ListParagraph"/>
        <w:numPr>
          <w:ilvl w:val="0"/>
          <w:numId w:val="2"/>
        </w:numPr>
        <w:spacing w:before="60" w:after="60"/>
      </w:pPr>
      <w:r>
        <w:rPr>
          <w:rFonts w:ascii="Arial" w:cs="Arial" w:eastAsia="Arial" w:hAnsi="Arial"/>
          <w:color w:val="212121"/>
          <w:sz w:val="22"/>
          <w:szCs w:val="22"/>
        </w:rPr>
        <w:t xml:space="preserve">Appliquer la loi de Benford pour une première détection statistique des anomalies de montants</w:t>
      </w:r>
    </w:p>
    <w:p>
      <w:pPr>
        <w:pStyle w:val="ListParagraph"/>
        <w:numPr>
          <w:ilvl w:val="0"/>
          <w:numId w:val="2"/>
        </w:numPr>
        <w:spacing w:before="60" w:after="60"/>
      </w:pPr>
      <w:r>
        <w:rPr>
          <w:rFonts w:ascii="Arial" w:cs="Arial" w:eastAsia="Arial" w:hAnsi="Arial"/>
          <w:color w:val="212121"/>
          <w:sz w:val="22"/>
          <w:szCs w:val="22"/>
        </w:rPr>
        <w:t xml:space="preserve">Entraîner et évaluer des modèles de machine learning (supervisé et non supervisé)</w:t>
      </w:r>
    </w:p>
    <w:p>
      <w:pPr>
        <w:pStyle w:val="ListParagraph"/>
        <w:numPr>
          <w:ilvl w:val="0"/>
          <w:numId w:val="2"/>
        </w:numPr>
        <w:spacing w:before="60" w:after="60"/>
      </w:pPr>
      <w:r>
        <w:rPr>
          <w:rFonts w:ascii="Arial" w:cs="Arial" w:eastAsia="Arial" w:hAnsi="Arial"/>
          <w:color w:val="212121"/>
          <w:sz w:val="22"/>
          <w:szCs w:val="22"/>
        </w:rPr>
        <w:t xml:space="preserve">Identifier et classer les écritures comptables suspectes selon leur niveau de risque</w:t>
      </w:r>
    </w:p>
    <w:p>
      <w:pPr>
        <w:pStyle w:val="ListParagraph"/>
        <w:numPr>
          <w:ilvl w:val="0"/>
          <w:numId w:val="2"/>
        </w:numPr>
        <w:spacing w:before="60" w:after="60"/>
      </w:pPr>
      <w:r>
        <w:rPr>
          <w:rFonts w:ascii="Arial" w:cs="Arial" w:eastAsia="Arial" w:hAnsi="Arial"/>
          <w:color w:val="212121"/>
          <w:sz w:val="22"/>
          <w:szCs w:val="22"/>
        </w:rPr>
        <w:t xml:space="preserve">Proposer des recommandations d'audit basées sur l'analyse des résultats</w:t>
      </w:r>
    </w:p>
    <w:p>
      <w:pPr>
        <w:spacing w:before="100" w:after="0"/>
      </w:pPr>
      <w:r>
        <w:rPr>
          <w:sz w:val="22"/>
          <w:szCs w:val="22"/>
        </w:rPr>
        <w:t xml:space="preserve"/>
      </w:r>
    </w:p>
    <w:p>
      <w:r>
        <w:br w:type="page"/>
      </w:r>
    </w:p>
    <w:p>
      <w:pPr>
        <w:pStyle w:val="Heading1"/>
        <w:pBdr>
          <w:bottom w:val="single" w:color="1976D2" w:sz="8" w:space="4"/>
        </w:pBdr>
        <w:spacing w:before="320" w:after="160"/>
      </w:pPr>
      <w:r>
        <w:rPr>
          <w:rFonts w:ascii="Arial" w:cs="Arial" w:eastAsia="Arial" w:hAnsi="Arial"/>
          <w:b/>
          <w:bCs/>
          <w:color w:val="1565C0"/>
          <w:sz w:val="30"/>
          <w:szCs w:val="30"/>
        </w:rPr>
        <w:t xml:space="preserve">2. Méthodologie</w:t>
      </w:r>
    </w:p>
    <w:p>
      <w:pPr>
        <w:pStyle w:val="Heading2"/>
        <w:spacing w:before="240" w:after="120"/>
      </w:pPr>
      <w:r>
        <w:rPr>
          <w:rFonts w:ascii="Arial" w:cs="Arial" w:eastAsia="Arial" w:hAnsi="Arial"/>
          <w:b/>
          <w:bCs/>
          <w:color w:val="1976D2"/>
          <w:sz w:val="25"/>
          <w:szCs w:val="25"/>
        </w:rPr>
        <w:t xml:space="preserve">2.1 La Loi de Benford</w:t>
      </w:r>
    </w:p>
    <w:p>
      <w:pPr>
        <w:spacing w:before="80" w:after="100"/>
        <w:jc w:val="left"/>
      </w:pPr>
      <w:r>
        <w:rPr>
          <w:rFonts w:ascii="Arial" w:cs="Arial" w:eastAsia="Arial" w:hAnsi="Arial"/>
          <w:b w:val="false"/>
          <w:bCs w:val="false"/>
          <w:i w:val="false"/>
          <w:iCs w:val="false"/>
          <w:color w:val="212121"/>
          <w:sz w:val="22"/>
          <w:szCs w:val="22"/>
        </w:rPr>
        <w:t xml:space="preserve">La loi de Benford, également connue sous le nom de loi du premier chiffre significatif, est un phénomène statistique observé dans de nombreux ensembles de données naturellement distribuées. Elle stipule que dans un grand ensemble de nombres issus de processus naturels (prix, populations, données financières), le premier chiffre significatif suit une distribution logarithmique précise et non uniforme.</w:t>
      </w:r>
    </w:p>
    <w:p>
      <w:pPr>
        <w:spacing w:before="80" w:after="100"/>
        <w:jc w:val="left"/>
      </w:pPr>
      <w:r>
        <w:rPr>
          <w:rFonts w:ascii="Arial" w:cs="Arial" w:eastAsia="Arial" w:hAnsi="Arial"/>
          <w:b w:val="false"/>
          <w:bCs w:val="false"/>
          <w:i w:val="false"/>
          <w:iCs w:val="false"/>
          <w:color w:val="212121"/>
          <w:sz w:val="22"/>
          <w:szCs w:val="22"/>
        </w:rPr>
        <w:t xml:space="preserve">La probabilité P(d) qu'un nombre commence par le chiffre d est donnée par la formule : P(d) = log₁₀(1 + 1/d). Ainsi, le chiffre 1 apparaît en premier dans environ 30,1% des cas, contre seulement 4,6% pour le chiffre 9.</w:t>
      </w:r>
    </w:p>
    <w:p>
      <w:pPr>
        <w:spacing w:before="80" w:after="0"/>
      </w:pPr>
      <w:r>
        <w:rPr>
          <w:sz w:val="22"/>
          <w:szCs w:val="22"/>
        </w:rPr>
        <w:t xml:space="preserve"/>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1000"/>
        <w:gridCol w:w="1100"/>
        <w:gridCol w:w="1100"/>
        <w:gridCol w:w="1100"/>
        <w:gridCol w:w="1100"/>
        <w:gridCol w:w="1100"/>
        <w:gridCol w:w="1100"/>
        <w:gridCol w:w="1100"/>
        <w:gridCol w:w="1060"/>
      </w:tblGrid>
      <w:tr>
        <w:tc>
          <w:tcPr>
            <w:tcW w:type="dxa" w:w="1007"/>
            <w:tcBorders>
              <w:top w:val="single" w:color="1976D2" w:sz="4"/>
              <w:left w:val="single" w:color="1976D2" w:sz="4"/>
              <w:bottom w:val="single" w:color="1976D2" w:sz="4"/>
              <w:right w:val="single" w:color="1976D2" w:sz="4"/>
            </w:tcBorders>
            <w:shd w:fill="1565C0" w:val="clear"/>
            <w:tcMar>
              <w:top w:type="dxa" w:w="80"/>
              <w:left w:type="dxa" w:w="80"/>
              <w:bottom w:type="dxa" w:w="80"/>
              <w:right w:type="dxa" w:w="80"/>
            </w:tcMar>
          </w:tcPr>
          <w:p>
            <w:pPr>
              <w:jc w:val="center"/>
            </w:pPr>
            <w:r>
              <w:rPr>
                <w:rFonts w:ascii="Arial" w:cs="Arial" w:eastAsia="Arial" w:hAnsi="Arial"/>
                <w:b/>
                <w:bCs/>
                <w:color w:val="FFFFFF"/>
                <w:sz w:val="21"/>
                <w:szCs w:val="21"/>
              </w:rPr>
              <w:t xml:space="preserve">1</w:t>
            </w:r>
          </w:p>
        </w:tc>
        <w:tc>
          <w:tcPr>
            <w:tcW w:type="dxa" w:w="1007"/>
            <w:tcBorders>
              <w:top w:val="single" w:color="1976D2" w:sz="4"/>
              <w:left w:val="single" w:color="1976D2" w:sz="4"/>
              <w:bottom w:val="single" w:color="1976D2" w:sz="4"/>
              <w:right w:val="single" w:color="1976D2" w:sz="4"/>
            </w:tcBorders>
            <w:shd w:fill="1565C0" w:val="clear"/>
            <w:tcMar>
              <w:top w:type="dxa" w:w="80"/>
              <w:left w:type="dxa" w:w="80"/>
              <w:bottom w:type="dxa" w:w="80"/>
              <w:right w:type="dxa" w:w="80"/>
            </w:tcMar>
          </w:tcPr>
          <w:p>
            <w:pPr>
              <w:jc w:val="center"/>
            </w:pPr>
            <w:r>
              <w:rPr>
                <w:rFonts w:ascii="Arial" w:cs="Arial" w:eastAsia="Arial" w:hAnsi="Arial"/>
                <w:b/>
                <w:bCs/>
                <w:color w:val="FFFFFF"/>
                <w:sz w:val="21"/>
                <w:szCs w:val="21"/>
              </w:rPr>
              <w:t xml:space="preserve">2</w:t>
            </w:r>
          </w:p>
        </w:tc>
        <w:tc>
          <w:tcPr>
            <w:tcW w:type="dxa" w:w="1007"/>
            <w:tcBorders>
              <w:top w:val="single" w:color="1976D2" w:sz="4"/>
              <w:left w:val="single" w:color="1976D2" w:sz="4"/>
              <w:bottom w:val="single" w:color="1976D2" w:sz="4"/>
              <w:right w:val="single" w:color="1976D2" w:sz="4"/>
            </w:tcBorders>
            <w:shd w:fill="1565C0" w:val="clear"/>
            <w:tcMar>
              <w:top w:type="dxa" w:w="80"/>
              <w:left w:type="dxa" w:w="80"/>
              <w:bottom w:type="dxa" w:w="80"/>
              <w:right w:type="dxa" w:w="80"/>
            </w:tcMar>
          </w:tcPr>
          <w:p>
            <w:pPr>
              <w:jc w:val="center"/>
            </w:pPr>
            <w:r>
              <w:rPr>
                <w:rFonts w:ascii="Arial" w:cs="Arial" w:eastAsia="Arial" w:hAnsi="Arial"/>
                <w:b/>
                <w:bCs/>
                <w:color w:val="FFFFFF"/>
                <w:sz w:val="21"/>
                <w:szCs w:val="21"/>
              </w:rPr>
              <w:t xml:space="preserve">3</w:t>
            </w:r>
          </w:p>
        </w:tc>
        <w:tc>
          <w:tcPr>
            <w:tcW w:type="dxa" w:w="1007"/>
            <w:tcBorders>
              <w:top w:val="single" w:color="1976D2" w:sz="4"/>
              <w:left w:val="single" w:color="1976D2" w:sz="4"/>
              <w:bottom w:val="single" w:color="1976D2" w:sz="4"/>
              <w:right w:val="single" w:color="1976D2" w:sz="4"/>
            </w:tcBorders>
            <w:shd w:fill="1565C0" w:val="clear"/>
            <w:tcMar>
              <w:top w:type="dxa" w:w="80"/>
              <w:left w:type="dxa" w:w="80"/>
              <w:bottom w:type="dxa" w:w="80"/>
              <w:right w:type="dxa" w:w="80"/>
            </w:tcMar>
          </w:tcPr>
          <w:p>
            <w:pPr>
              <w:jc w:val="center"/>
            </w:pPr>
            <w:r>
              <w:rPr>
                <w:rFonts w:ascii="Arial" w:cs="Arial" w:eastAsia="Arial" w:hAnsi="Arial"/>
                <w:b/>
                <w:bCs/>
                <w:color w:val="FFFFFF"/>
                <w:sz w:val="21"/>
                <w:szCs w:val="21"/>
              </w:rPr>
              <w:t xml:space="preserve">4</w:t>
            </w:r>
          </w:p>
        </w:tc>
        <w:tc>
          <w:tcPr>
            <w:tcW w:type="dxa" w:w="1007"/>
            <w:tcBorders>
              <w:top w:val="single" w:color="1976D2" w:sz="4"/>
              <w:left w:val="single" w:color="1976D2" w:sz="4"/>
              <w:bottom w:val="single" w:color="1976D2" w:sz="4"/>
              <w:right w:val="single" w:color="1976D2" w:sz="4"/>
            </w:tcBorders>
            <w:shd w:fill="1565C0" w:val="clear"/>
            <w:tcMar>
              <w:top w:type="dxa" w:w="80"/>
              <w:left w:type="dxa" w:w="80"/>
              <w:bottom w:type="dxa" w:w="80"/>
              <w:right w:type="dxa" w:w="80"/>
            </w:tcMar>
          </w:tcPr>
          <w:p>
            <w:pPr>
              <w:jc w:val="center"/>
            </w:pPr>
            <w:r>
              <w:rPr>
                <w:rFonts w:ascii="Arial" w:cs="Arial" w:eastAsia="Arial" w:hAnsi="Arial"/>
                <w:b/>
                <w:bCs/>
                <w:color w:val="FFFFFF"/>
                <w:sz w:val="21"/>
                <w:szCs w:val="21"/>
              </w:rPr>
              <w:t xml:space="preserve">5</w:t>
            </w:r>
          </w:p>
        </w:tc>
        <w:tc>
          <w:tcPr>
            <w:tcW w:type="dxa" w:w="1007"/>
            <w:tcBorders>
              <w:top w:val="single" w:color="1976D2" w:sz="4"/>
              <w:left w:val="single" w:color="1976D2" w:sz="4"/>
              <w:bottom w:val="single" w:color="1976D2" w:sz="4"/>
              <w:right w:val="single" w:color="1976D2" w:sz="4"/>
            </w:tcBorders>
            <w:shd w:fill="1565C0" w:val="clear"/>
            <w:tcMar>
              <w:top w:type="dxa" w:w="80"/>
              <w:left w:type="dxa" w:w="80"/>
              <w:bottom w:type="dxa" w:w="80"/>
              <w:right w:type="dxa" w:w="80"/>
            </w:tcMar>
          </w:tcPr>
          <w:p>
            <w:pPr>
              <w:jc w:val="center"/>
            </w:pPr>
            <w:r>
              <w:rPr>
                <w:rFonts w:ascii="Arial" w:cs="Arial" w:eastAsia="Arial" w:hAnsi="Arial"/>
                <w:b/>
                <w:bCs/>
                <w:color w:val="FFFFFF"/>
                <w:sz w:val="21"/>
                <w:szCs w:val="21"/>
              </w:rPr>
              <w:t xml:space="preserve">6</w:t>
            </w:r>
          </w:p>
        </w:tc>
        <w:tc>
          <w:tcPr>
            <w:tcW w:type="dxa" w:w="1007"/>
            <w:tcBorders>
              <w:top w:val="single" w:color="1976D2" w:sz="4"/>
              <w:left w:val="single" w:color="1976D2" w:sz="4"/>
              <w:bottom w:val="single" w:color="1976D2" w:sz="4"/>
              <w:right w:val="single" w:color="1976D2" w:sz="4"/>
            </w:tcBorders>
            <w:shd w:fill="1565C0" w:val="clear"/>
            <w:tcMar>
              <w:top w:type="dxa" w:w="80"/>
              <w:left w:type="dxa" w:w="80"/>
              <w:bottom w:type="dxa" w:w="80"/>
              <w:right w:type="dxa" w:w="80"/>
            </w:tcMar>
          </w:tcPr>
          <w:p>
            <w:pPr>
              <w:jc w:val="center"/>
            </w:pPr>
            <w:r>
              <w:rPr>
                <w:rFonts w:ascii="Arial" w:cs="Arial" w:eastAsia="Arial" w:hAnsi="Arial"/>
                <w:b/>
                <w:bCs/>
                <w:color w:val="FFFFFF"/>
                <w:sz w:val="21"/>
                <w:szCs w:val="21"/>
              </w:rPr>
              <w:t xml:space="preserve">7</w:t>
            </w:r>
          </w:p>
        </w:tc>
        <w:tc>
          <w:tcPr>
            <w:tcW w:type="dxa" w:w="1007"/>
            <w:tcBorders>
              <w:top w:val="single" w:color="1976D2" w:sz="4"/>
              <w:left w:val="single" w:color="1976D2" w:sz="4"/>
              <w:bottom w:val="single" w:color="1976D2" w:sz="4"/>
              <w:right w:val="single" w:color="1976D2" w:sz="4"/>
            </w:tcBorders>
            <w:shd w:fill="1565C0" w:val="clear"/>
            <w:tcMar>
              <w:top w:type="dxa" w:w="80"/>
              <w:left w:type="dxa" w:w="80"/>
              <w:bottom w:type="dxa" w:w="80"/>
              <w:right w:type="dxa" w:w="80"/>
            </w:tcMar>
          </w:tcPr>
          <w:p>
            <w:pPr>
              <w:jc w:val="center"/>
            </w:pPr>
            <w:r>
              <w:rPr>
                <w:rFonts w:ascii="Arial" w:cs="Arial" w:eastAsia="Arial" w:hAnsi="Arial"/>
                <w:b/>
                <w:bCs/>
                <w:color w:val="FFFFFF"/>
                <w:sz w:val="21"/>
                <w:szCs w:val="21"/>
              </w:rPr>
              <w:t xml:space="preserve">8</w:t>
            </w:r>
          </w:p>
        </w:tc>
        <w:tc>
          <w:tcPr>
            <w:tcW w:type="dxa" w:w="1007"/>
            <w:tcBorders>
              <w:top w:val="single" w:color="1976D2" w:sz="4"/>
              <w:left w:val="single" w:color="1976D2" w:sz="4"/>
              <w:bottom w:val="single" w:color="1976D2" w:sz="4"/>
              <w:right w:val="single" w:color="1976D2" w:sz="4"/>
            </w:tcBorders>
            <w:shd w:fill="1565C0" w:val="clear"/>
            <w:tcMar>
              <w:top w:type="dxa" w:w="80"/>
              <w:left w:type="dxa" w:w="80"/>
              <w:bottom w:type="dxa" w:w="80"/>
              <w:right w:type="dxa" w:w="80"/>
            </w:tcMar>
          </w:tcPr>
          <w:p>
            <w:pPr>
              <w:jc w:val="center"/>
            </w:pPr>
            <w:r>
              <w:rPr>
                <w:rFonts w:ascii="Arial" w:cs="Arial" w:eastAsia="Arial" w:hAnsi="Arial"/>
                <w:b/>
                <w:bCs/>
                <w:color w:val="FFFFFF"/>
                <w:sz w:val="21"/>
                <w:szCs w:val="21"/>
              </w:rPr>
              <w:t xml:space="preserve">9</w:t>
            </w:r>
          </w:p>
        </w:tc>
      </w:tr>
      <w:tr>
        <w:tc>
          <w:tcPr>
            <w:tcW w:type="dxa" w:w="1007"/>
            <w:tcBorders>
              <w:top w:val="single" w:color="1976D2" w:sz="4"/>
              <w:left w:val="single" w:color="1976D2" w:sz="4"/>
              <w:bottom w:val="single" w:color="1976D2" w:sz="4"/>
              <w:right w:val="single" w:color="1976D2" w:sz="4"/>
            </w:tcBorders>
            <w:shd w:fill="E3F2FD" w:val="clear"/>
            <w:tcMar>
              <w:top w:type="dxa" w:w="80"/>
              <w:left w:type="dxa" w:w="80"/>
              <w:bottom w:type="dxa" w:w="80"/>
              <w:right w:type="dxa" w:w="80"/>
            </w:tcMar>
          </w:tcPr>
          <w:p>
            <w:pPr>
              <w:jc w:val="center"/>
            </w:pPr>
            <w:r>
              <w:rPr>
                <w:rFonts w:ascii="Arial" w:cs="Arial" w:eastAsia="Arial" w:hAnsi="Arial"/>
                <w:color w:val="1565C0"/>
                <w:sz w:val="21"/>
                <w:szCs w:val="21"/>
              </w:rPr>
              <w:t xml:space="preserve">30.1%</w:t>
            </w:r>
          </w:p>
        </w:tc>
        <w:tc>
          <w:tcPr>
            <w:tcW w:type="dxa" w:w="1007"/>
            <w:tcBorders>
              <w:top w:val="single" w:color="1976D2" w:sz="4"/>
              <w:left w:val="single" w:color="1976D2" w:sz="4"/>
              <w:bottom w:val="single" w:color="1976D2" w:sz="4"/>
              <w:right w:val="single" w:color="1976D2" w:sz="4"/>
            </w:tcBorders>
            <w:shd w:fill="E3F2FD" w:val="clear"/>
            <w:tcMar>
              <w:top w:type="dxa" w:w="80"/>
              <w:left w:type="dxa" w:w="80"/>
              <w:bottom w:type="dxa" w:w="80"/>
              <w:right w:type="dxa" w:w="80"/>
            </w:tcMar>
          </w:tcPr>
          <w:p>
            <w:pPr>
              <w:jc w:val="center"/>
            </w:pPr>
            <w:r>
              <w:rPr>
                <w:rFonts w:ascii="Arial" w:cs="Arial" w:eastAsia="Arial" w:hAnsi="Arial"/>
                <w:color w:val="1565C0"/>
                <w:sz w:val="21"/>
                <w:szCs w:val="21"/>
              </w:rPr>
              <w:t xml:space="preserve">17.6%</w:t>
            </w:r>
          </w:p>
        </w:tc>
        <w:tc>
          <w:tcPr>
            <w:tcW w:type="dxa" w:w="1007"/>
            <w:tcBorders>
              <w:top w:val="single" w:color="1976D2" w:sz="4"/>
              <w:left w:val="single" w:color="1976D2" w:sz="4"/>
              <w:bottom w:val="single" w:color="1976D2" w:sz="4"/>
              <w:right w:val="single" w:color="1976D2" w:sz="4"/>
            </w:tcBorders>
            <w:shd w:fill="E3F2FD" w:val="clear"/>
            <w:tcMar>
              <w:top w:type="dxa" w:w="80"/>
              <w:left w:type="dxa" w:w="80"/>
              <w:bottom w:type="dxa" w:w="80"/>
              <w:right w:type="dxa" w:w="80"/>
            </w:tcMar>
          </w:tcPr>
          <w:p>
            <w:pPr>
              <w:jc w:val="center"/>
            </w:pPr>
            <w:r>
              <w:rPr>
                <w:rFonts w:ascii="Arial" w:cs="Arial" w:eastAsia="Arial" w:hAnsi="Arial"/>
                <w:color w:val="1565C0"/>
                <w:sz w:val="21"/>
                <w:szCs w:val="21"/>
              </w:rPr>
              <w:t xml:space="preserve">12.5%</w:t>
            </w:r>
          </w:p>
        </w:tc>
        <w:tc>
          <w:tcPr>
            <w:tcW w:type="dxa" w:w="1007"/>
            <w:tcBorders>
              <w:top w:val="single" w:color="1976D2" w:sz="4"/>
              <w:left w:val="single" w:color="1976D2" w:sz="4"/>
              <w:bottom w:val="single" w:color="1976D2" w:sz="4"/>
              <w:right w:val="single" w:color="1976D2" w:sz="4"/>
            </w:tcBorders>
            <w:shd w:fill="E3F2FD" w:val="clear"/>
            <w:tcMar>
              <w:top w:type="dxa" w:w="80"/>
              <w:left w:type="dxa" w:w="80"/>
              <w:bottom w:type="dxa" w:w="80"/>
              <w:right w:type="dxa" w:w="80"/>
            </w:tcMar>
          </w:tcPr>
          <w:p>
            <w:pPr>
              <w:jc w:val="center"/>
            </w:pPr>
            <w:r>
              <w:rPr>
                <w:rFonts w:ascii="Arial" w:cs="Arial" w:eastAsia="Arial" w:hAnsi="Arial"/>
                <w:color w:val="1565C0"/>
                <w:sz w:val="21"/>
                <w:szCs w:val="21"/>
              </w:rPr>
              <w:t xml:space="preserve">9.7%</w:t>
            </w:r>
          </w:p>
        </w:tc>
        <w:tc>
          <w:tcPr>
            <w:tcW w:type="dxa" w:w="1007"/>
            <w:tcBorders>
              <w:top w:val="single" w:color="1976D2" w:sz="4"/>
              <w:left w:val="single" w:color="1976D2" w:sz="4"/>
              <w:bottom w:val="single" w:color="1976D2" w:sz="4"/>
              <w:right w:val="single" w:color="1976D2" w:sz="4"/>
            </w:tcBorders>
            <w:shd w:fill="E3F2FD" w:val="clear"/>
            <w:tcMar>
              <w:top w:type="dxa" w:w="80"/>
              <w:left w:type="dxa" w:w="80"/>
              <w:bottom w:type="dxa" w:w="80"/>
              <w:right w:type="dxa" w:w="80"/>
            </w:tcMar>
          </w:tcPr>
          <w:p>
            <w:pPr>
              <w:jc w:val="center"/>
            </w:pPr>
            <w:r>
              <w:rPr>
                <w:rFonts w:ascii="Arial" w:cs="Arial" w:eastAsia="Arial" w:hAnsi="Arial"/>
                <w:color w:val="1565C0"/>
                <w:sz w:val="21"/>
                <w:szCs w:val="21"/>
              </w:rPr>
              <w:t xml:space="preserve">7.9%</w:t>
            </w:r>
          </w:p>
        </w:tc>
        <w:tc>
          <w:tcPr>
            <w:tcW w:type="dxa" w:w="1007"/>
            <w:tcBorders>
              <w:top w:val="single" w:color="1976D2" w:sz="4"/>
              <w:left w:val="single" w:color="1976D2" w:sz="4"/>
              <w:bottom w:val="single" w:color="1976D2" w:sz="4"/>
              <w:right w:val="single" w:color="1976D2" w:sz="4"/>
            </w:tcBorders>
            <w:shd w:fill="E3F2FD" w:val="clear"/>
            <w:tcMar>
              <w:top w:type="dxa" w:w="80"/>
              <w:left w:type="dxa" w:w="80"/>
              <w:bottom w:type="dxa" w:w="80"/>
              <w:right w:type="dxa" w:w="80"/>
            </w:tcMar>
          </w:tcPr>
          <w:p>
            <w:pPr>
              <w:jc w:val="center"/>
            </w:pPr>
            <w:r>
              <w:rPr>
                <w:rFonts w:ascii="Arial" w:cs="Arial" w:eastAsia="Arial" w:hAnsi="Arial"/>
                <w:color w:val="1565C0"/>
                <w:sz w:val="21"/>
                <w:szCs w:val="21"/>
              </w:rPr>
              <w:t xml:space="preserve">6.7%</w:t>
            </w:r>
          </w:p>
        </w:tc>
        <w:tc>
          <w:tcPr>
            <w:tcW w:type="dxa" w:w="1007"/>
            <w:tcBorders>
              <w:top w:val="single" w:color="1976D2" w:sz="4"/>
              <w:left w:val="single" w:color="1976D2" w:sz="4"/>
              <w:bottom w:val="single" w:color="1976D2" w:sz="4"/>
              <w:right w:val="single" w:color="1976D2" w:sz="4"/>
            </w:tcBorders>
            <w:shd w:fill="E3F2FD" w:val="clear"/>
            <w:tcMar>
              <w:top w:type="dxa" w:w="80"/>
              <w:left w:type="dxa" w:w="80"/>
              <w:bottom w:type="dxa" w:w="80"/>
              <w:right w:type="dxa" w:w="80"/>
            </w:tcMar>
          </w:tcPr>
          <w:p>
            <w:pPr>
              <w:jc w:val="center"/>
            </w:pPr>
            <w:r>
              <w:rPr>
                <w:rFonts w:ascii="Arial" w:cs="Arial" w:eastAsia="Arial" w:hAnsi="Arial"/>
                <w:color w:val="1565C0"/>
                <w:sz w:val="21"/>
                <w:szCs w:val="21"/>
              </w:rPr>
              <w:t xml:space="preserve">5.8%</w:t>
            </w:r>
          </w:p>
        </w:tc>
        <w:tc>
          <w:tcPr>
            <w:tcW w:type="dxa" w:w="1007"/>
            <w:tcBorders>
              <w:top w:val="single" w:color="1976D2" w:sz="4"/>
              <w:left w:val="single" w:color="1976D2" w:sz="4"/>
              <w:bottom w:val="single" w:color="1976D2" w:sz="4"/>
              <w:right w:val="single" w:color="1976D2" w:sz="4"/>
            </w:tcBorders>
            <w:shd w:fill="E3F2FD" w:val="clear"/>
            <w:tcMar>
              <w:top w:type="dxa" w:w="80"/>
              <w:left w:type="dxa" w:w="80"/>
              <w:bottom w:type="dxa" w:w="80"/>
              <w:right w:type="dxa" w:w="80"/>
            </w:tcMar>
          </w:tcPr>
          <w:p>
            <w:pPr>
              <w:jc w:val="center"/>
            </w:pPr>
            <w:r>
              <w:rPr>
                <w:rFonts w:ascii="Arial" w:cs="Arial" w:eastAsia="Arial" w:hAnsi="Arial"/>
                <w:color w:val="1565C0"/>
                <w:sz w:val="21"/>
                <w:szCs w:val="21"/>
              </w:rPr>
              <w:t xml:space="preserve">5.1%</w:t>
            </w:r>
          </w:p>
        </w:tc>
        <w:tc>
          <w:tcPr>
            <w:tcW w:type="dxa" w:w="1007"/>
            <w:tcBorders>
              <w:top w:val="single" w:color="1976D2" w:sz="4"/>
              <w:left w:val="single" w:color="1976D2" w:sz="4"/>
              <w:bottom w:val="single" w:color="1976D2" w:sz="4"/>
              <w:right w:val="single" w:color="1976D2" w:sz="4"/>
            </w:tcBorders>
            <w:shd w:fill="E3F2FD" w:val="clear"/>
            <w:tcMar>
              <w:top w:type="dxa" w:w="80"/>
              <w:left w:type="dxa" w:w="80"/>
              <w:bottom w:type="dxa" w:w="80"/>
              <w:right w:type="dxa" w:w="80"/>
            </w:tcMar>
          </w:tcPr>
          <w:p>
            <w:pPr>
              <w:jc w:val="center"/>
            </w:pPr>
            <w:r>
              <w:rPr>
                <w:rFonts w:ascii="Arial" w:cs="Arial" w:eastAsia="Arial" w:hAnsi="Arial"/>
                <w:color w:val="1565C0"/>
                <w:sz w:val="21"/>
                <w:szCs w:val="21"/>
              </w:rPr>
              <w:t xml:space="preserve">4.6%</w:t>
            </w:r>
          </w:p>
        </w:tc>
      </w:tr>
    </w:tbl>
    <w:p>
      <w:pPr>
        <w:spacing w:before="60" w:after="140"/>
        <w:jc w:val="center"/>
      </w:pPr>
      <w:r>
        <w:rPr>
          <w:rFonts w:ascii="Arial" w:cs="Arial" w:eastAsia="Arial" w:hAnsi="Arial"/>
          <w:i/>
          <w:iCs/>
          <w:color w:val="757575"/>
          <w:sz w:val="18"/>
          <w:szCs w:val="18"/>
        </w:rPr>
        <w:t xml:space="preserve">Tableau 1 — Distribution théorique de Benford par premier chiffre significatif</w:t>
      </w:r>
    </w:p>
    <w:p>
      <w:pPr>
        <w:pStyle w:val="Heading3"/>
        <w:spacing w:before="180" w:after="80"/>
      </w:pPr>
      <w:r>
        <w:rPr>
          <w:rFonts w:ascii="Arial" w:cs="Arial" w:eastAsia="Arial" w:hAnsi="Arial"/>
          <w:b/>
          <w:bCs/>
          <w:color w:val="E65100"/>
          <w:sz w:val="22"/>
          <w:szCs w:val="22"/>
        </w:rPr>
        <w:t xml:space="preserve">Avantages en audit</w:t>
      </w:r>
    </w:p>
    <w:p>
      <w:pPr>
        <w:pStyle w:val="ListParagraph"/>
        <w:numPr>
          <w:ilvl w:val="0"/>
          <w:numId w:val="2"/>
        </w:numPr>
        <w:spacing w:before="60" w:after="60"/>
      </w:pPr>
      <w:r>
        <w:rPr>
          <w:rFonts w:ascii="Arial" w:cs="Arial" w:eastAsia="Arial" w:hAnsi="Arial"/>
          <w:color w:val="212121"/>
          <w:sz w:val="22"/>
          <w:szCs w:val="22"/>
        </w:rPr>
        <w:t xml:space="preserve">Simple à implémenter et à expliquer aux parties prenantes non-techniques</w:t>
      </w:r>
    </w:p>
    <w:p>
      <w:pPr>
        <w:pStyle w:val="ListParagraph"/>
        <w:numPr>
          <w:ilvl w:val="0"/>
          <w:numId w:val="2"/>
        </w:numPr>
        <w:spacing w:before="60" w:after="60"/>
      </w:pPr>
      <w:r>
        <w:rPr>
          <w:rFonts w:ascii="Arial" w:cs="Arial" w:eastAsia="Arial" w:hAnsi="Arial"/>
          <w:color w:val="212121"/>
          <w:sz w:val="22"/>
          <w:szCs w:val="22"/>
        </w:rPr>
        <w:t xml:space="preserve">Indépendant du secteur d'activité — applicable à tout grand ensemble financier</w:t>
      </w:r>
    </w:p>
    <w:p>
      <w:pPr>
        <w:pStyle w:val="ListParagraph"/>
        <w:numPr>
          <w:ilvl w:val="0"/>
          <w:numId w:val="2"/>
        </w:numPr>
        <w:spacing w:before="60" w:after="60"/>
      </w:pPr>
      <w:r>
        <w:rPr>
          <w:rFonts w:ascii="Arial" w:cs="Arial" w:eastAsia="Arial" w:hAnsi="Arial"/>
          <w:color w:val="212121"/>
          <w:sz w:val="22"/>
          <w:szCs w:val="22"/>
        </w:rPr>
        <w:t xml:space="preserve">Détecte efficacement les montants "fabriqués" par des fraudeurs (tendance aux chiffres ronds)</w:t>
      </w:r>
    </w:p>
    <w:p>
      <w:pPr>
        <w:spacing w:before="80" w:after="0"/>
      </w:pPr>
      <w:r>
        <w:rPr>
          <w:sz w:val="22"/>
          <w:szCs w:val="22"/>
        </w:rPr>
        <w:t xml:space="preserve"/>
      </w:r>
    </w:p>
    <w:p>
      <w:pPr>
        <w:pStyle w:val="Heading3"/>
        <w:spacing w:before="180" w:after="80"/>
      </w:pPr>
      <w:r>
        <w:rPr>
          <w:rFonts w:ascii="Arial" w:cs="Arial" w:eastAsia="Arial" w:hAnsi="Arial"/>
          <w:b/>
          <w:bCs/>
          <w:color w:val="E65100"/>
          <w:sz w:val="22"/>
          <w:szCs w:val="22"/>
        </w:rPr>
        <w:t xml:space="preserve">Limites</w:t>
      </w:r>
    </w:p>
    <w:p>
      <w:pPr>
        <w:pStyle w:val="ListParagraph"/>
        <w:numPr>
          <w:ilvl w:val="0"/>
          <w:numId w:val="2"/>
        </w:numPr>
        <w:spacing w:before="60" w:after="60"/>
      </w:pPr>
      <w:r>
        <w:rPr>
          <w:rFonts w:ascii="Arial" w:cs="Arial" w:eastAsia="Arial" w:hAnsi="Arial"/>
          <w:color w:val="212121"/>
          <w:sz w:val="22"/>
          <w:szCs w:val="22"/>
        </w:rPr>
        <w:t xml:space="preserve">Nécessite un grand volume de données pour être statistiquement significatif (&gt;500 observations)</w:t>
      </w:r>
    </w:p>
    <w:p>
      <w:pPr>
        <w:pStyle w:val="ListParagraph"/>
        <w:numPr>
          <w:ilvl w:val="0"/>
          <w:numId w:val="2"/>
        </w:numPr>
        <w:spacing w:before="60" w:after="60"/>
      </w:pPr>
      <w:r>
        <w:rPr>
          <w:rFonts w:ascii="Arial" w:cs="Arial" w:eastAsia="Arial" w:hAnsi="Arial"/>
          <w:color w:val="212121"/>
          <w:sz w:val="22"/>
          <w:szCs w:val="22"/>
        </w:rPr>
        <w:t xml:space="preserve">Inadapté aux données bornées ou aux transactions de faible plage de valeurs</w:t>
      </w:r>
    </w:p>
    <w:p>
      <w:pPr>
        <w:pStyle w:val="ListParagraph"/>
        <w:numPr>
          <w:ilvl w:val="0"/>
          <w:numId w:val="2"/>
        </w:numPr>
        <w:spacing w:before="60" w:after="60"/>
      </w:pPr>
      <w:r>
        <w:rPr>
          <w:rFonts w:ascii="Arial" w:cs="Arial" w:eastAsia="Arial" w:hAnsi="Arial"/>
          <w:color w:val="212121"/>
          <w:sz w:val="22"/>
          <w:szCs w:val="22"/>
        </w:rPr>
        <w:t xml:space="preserve">Taux de faux positifs élevé — doit être combiné avec d'autres méthodes</w:t>
      </w:r>
    </w:p>
    <w:p>
      <w:pPr>
        <w:spacing w:before="120" w:after="0"/>
      </w:pPr>
      <w:r>
        <w:rPr>
          <w:sz w:val="22"/>
          <w:szCs w:val="22"/>
        </w:rPr>
        <w:t xml:space="preserve"/>
      </w:r>
    </w:p>
    <w:p>
      <w:pPr>
        <w:pStyle w:val="Heading2"/>
        <w:spacing w:before="240" w:after="120"/>
      </w:pPr>
      <w:r>
        <w:rPr>
          <w:rFonts w:ascii="Arial" w:cs="Arial" w:eastAsia="Arial" w:hAnsi="Arial"/>
          <w:b/>
          <w:bCs/>
          <w:color w:val="1976D2"/>
          <w:sz w:val="25"/>
          <w:szCs w:val="25"/>
        </w:rPr>
        <w:t xml:space="preserve">2.2 Random Forest (Apprentissage Supervisé)</w:t>
      </w:r>
    </w:p>
    <w:p>
      <w:pPr>
        <w:spacing w:before="80" w:after="100"/>
        <w:jc w:val="left"/>
      </w:pPr>
      <w:r>
        <w:rPr>
          <w:rFonts w:ascii="Arial" w:cs="Arial" w:eastAsia="Arial" w:hAnsi="Arial"/>
          <w:b w:val="false"/>
          <w:bCs w:val="false"/>
          <w:i w:val="false"/>
          <w:iCs w:val="false"/>
          <w:color w:val="212121"/>
          <w:sz w:val="22"/>
          <w:szCs w:val="22"/>
        </w:rPr>
        <w:t xml:space="preserve">Le Random Forest est un algorithme d'ensemble qui construit de multiples arbres de décision sur des sous-échantillons aléatoires du dataset, puis agrège leurs prédictions. C'est l'un des algorithmes les plus performants pour la détection de fraude grâce à sa robustesse face aux données déséquilibrées et aux variables corrélées.</w:t>
      </w:r>
    </w:p>
    <w:p>
      <w:pPr>
        <w:pStyle w:val="ListParagraph"/>
        <w:numPr>
          <w:ilvl w:val="0"/>
          <w:numId w:val="2"/>
        </w:numPr>
        <w:spacing w:before="60" w:after="60"/>
      </w:pPr>
      <w:r>
        <w:rPr>
          <w:rFonts w:ascii="Arial" w:cs="Arial" w:eastAsia="Arial" w:hAnsi="Arial"/>
          <w:color w:val="212121"/>
          <w:sz w:val="22"/>
          <w:szCs w:val="22"/>
        </w:rPr>
        <w:t xml:space="preserve">Robustesse au surapprentissage grâce à l'agrégation de multiples arbres (n=200)</w:t>
      </w:r>
    </w:p>
    <w:p>
      <w:pPr>
        <w:pStyle w:val="ListParagraph"/>
        <w:numPr>
          <w:ilvl w:val="0"/>
          <w:numId w:val="2"/>
        </w:numPr>
        <w:spacing w:before="60" w:after="60"/>
      </w:pPr>
      <w:r>
        <w:rPr>
          <w:rFonts w:ascii="Arial" w:cs="Arial" w:eastAsia="Arial" w:hAnsi="Arial"/>
          <w:color w:val="212121"/>
          <w:sz w:val="22"/>
          <w:szCs w:val="22"/>
        </w:rPr>
        <w:t xml:space="preserve">Gestion native des données déséquilibrées avec class_weight="balanced"</w:t>
      </w:r>
    </w:p>
    <w:p>
      <w:pPr>
        <w:pStyle w:val="ListParagraph"/>
        <w:numPr>
          <w:ilvl w:val="0"/>
          <w:numId w:val="2"/>
        </w:numPr>
        <w:spacing w:before="60" w:after="60"/>
      </w:pPr>
      <w:r>
        <w:rPr>
          <w:rFonts w:ascii="Arial" w:cs="Arial" w:eastAsia="Arial" w:hAnsi="Arial"/>
          <w:color w:val="212121"/>
          <w:sz w:val="22"/>
          <w:szCs w:val="22"/>
        </w:rPr>
        <w:t xml:space="preserve">Fournit une mesure d'importance des variables utile pour l'interprétation métier</w:t>
      </w:r>
    </w:p>
    <w:p>
      <w:pPr>
        <w:pStyle w:val="ListParagraph"/>
        <w:numPr>
          <w:ilvl w:val="0"/>
          <w:numId w:val="2"/>
        </w:numPr>
        <w:spacing w:before="60" w:after="60"/>
      </w:pPr>
      <w:r>
        <w:rPr>
          <w:rFonts w:ascii="Arial" w:cs="Arial" w:eastAsia="Arial" w:hAnsi="Arial"/>
          <w:color w:val="212121"/>
          <w:sz w:val="22"/>
          <w:szCs w:val="22"/>
        </w:rPr>
        <w:t xml:space="preserve">Pas de normalisation requise — idéal pour les données mixtes (montants, comptes, utilisateurs)</w:t>
      </w:r>
    </w:p>
    <w:p>
      <w:pPr>
        <w:spacing w:before="120" w:after="0"/>
      </w:pPr>
      <w:r>
        <w:rPr>
          <w:sz w:val="22"/>
          <w:szCs w:val="22"/>
        </w:rPr>
        <w:t xml:space="preserve"/>
      </w:r>
    </w:p>
    <w:p>
      <w:pPr>
        <w:pStyle w:val="Heading2"/>
        <w:spacing w:before="240" w:after="120"/>
      </w:pPr>
      <w:r>
        <w:rPr>
          <w:rFonts w:ascii="Arial" w:cs="Arial" w:eastAsia="Arial" w:hAnsi="Arial"/>
          <w:b/>
          <w:bCs/>
          <w:color w:val="1976D2"/>
          <w:sz w:val="25"/>
          <w:szCs w:val="25"/>
        </w:rPr>
        <w:t xml:space="preserve">2.3 Isolation Forest (Apprentissage Non Supervisé)</w:t>
      </w:r>
    </w:p>
    <w:p>
      <w:pPr>
        <w:spacing w:before="80" w:after="100"/>
        <w:jc w:val="left"/>
      </w:pPr>
      <w:r>
        <w:rPr>
          <w:rFonts w:ascii="Arial" w:cs="Arial" w:eastAsia="Arial" w:hAnsi="Arial"/>
          <w:b w:val="false"/>
          <w:bCs w:val="false"/>
          <w:i w:val="false"/>
          <w:iCs w:val="false"/>
          <w:color w:val="212121"/>
          <w:sz w:val="22"/>
          <w:szCs w:val="22"/>
        </w:rPr>
        <w:t xml:space="preserve">L'Isolation Forest est un algorithme de détection d'anomalies non supervisé basé sur le principe que les anomalies sont "rares et différentes". Il isole les observations en construisant des arbres de décision aléatoires : les points anormaux nécessitent moins de découpages pour être isolés que les points normaux.</w:t>
      </w:r>
    </w:p>
    <w:p>
      <w:pPr>
        <w:spacing w:before="80" w:after="80"/>
        <w:jc w:val="left"/>
      </w:pPr>
      <w:r>
        <w:rPr>
          <w:rFonts w:ascii="Arial" w:cs="Arial" w:eastAsia="Arial" w:hAnsi="Arial"/>
          <w:b w:val="false"/>
          <w:bCs w:val="false"/>
          <w:i w:val="false"/>
          <w:iCs w:val="false"/>
          <w:color w:val="212121"/>
          <w:sz w:val="22"/>
          <w:szCs w:val="22"/>
        </w:rPr>
        <w:t xml:space="preserve">Particulièrement adapté aux situations où les labels (écriture suspecte ou non) ne sont pas disponibles a priori — ce qui est souvent le cas lors d'un premier audit d'une nouvelle entité.</w:t>
      </w:r>
    </w:p>
    <w:p>
      <w:pPr>
        <w:spacing w:before="80" w:after="0"/>
      </w:pPr>
      <w:r>
        <w:rPr>
          <w:sz w:val="22"/>
          <w:szCs w:val="22"/>
        </w:rPr>
        <w:t xml:space="preserve"/>
      </w:r>
    </w:p>
    <w:p>
      <w:pPr>
        <w:pStyle w:val="Heading2"/>
        <w:spacing w:before="240" w:after="120"/>
      </w:pPr>
      <w:r>
        <w:rPr>
          <w:rFonts w:ascii="Arial" w:cs="Arial" w:eastAsia="Arial" w:hAnsi="Arial"/>
          <w:b/>
          <w:bCs/>
          <w:color w:val="1976D2"/>
          <w:sz w:val="25"/>
          <w:szCs w:val="25"/>
        </w:rPr>
        <w:t xml:space="preserve">2.4 Feature Engineering</w:t>
      </w:r>
    </w:p>
    <w:p>
      <w:pPr>
        <w:spacing w:before="80" w:after="80"/>
        <w:jc w:val="left"/>
      </w:pPr>
      <w:r>
        <w:rPr>
          <w:rFonts w:ascii="Arial" w:cs="Arial" w:eastAsia="Arial" w:hAnsi="Arial"/>
          <w:b w:val="false"/>
          <w:bCs w:val="false"/>
          <w:i w:val="false"/>
          <w:iCs w:val="false"/>
          <w:color w:val="212121"/>
          <w:sz w:val="22"/>
          <w:szCs w:val="22"/>
        </w:rPr>
        <w:t xml:space="preserve">La préparation des données est une étape cruciale. Les variables suivantes ont été construites à partir des données brutes pour alimenter les modèles :</w:t>
      </w:r>
    </w:p>
    <w:p>
      <w:pPr>
        <w:spacing w:before="60" w:after="0"/>
      </w:pPr>
      <w:r>
        <w:rPr>
          <w:sz w:val="22"/>
          <w:szCs w:val="22"/>
        </w:rPr>
        <w:t xml:space="preserve"/>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60"/>
      </w:tblGrid>
      <w:tr>
        <w:tc>
          <w:tcPr>
            <w:tcW w:type="dxa" w:w="2500"/>
            <w:tcBorders>
              <w:top w:val="single" w:color="D0D0D0" w:sz="4"/>
              <w:left w:val="single" w:color="D0D0D0" w:sz="4"/>
              <w:bottom w:val="single" w:color="D0D0D0" w:sz="4"/>
              <w:right w:val="single" w:color="D0D0D0" w:sz="4"/>
            </w:tcBorders>
            <w:shd w:fill="1565C0" w:val="clear"/>
            <w:tcMar>
              <w:top w:type="dxa" w:w="80"/>
              <w:left w:type="dxa" w:w="120"/>
              <w:bottom w:type="dxa" w:w="80"/>
              <w:right w:type="dxa" w:w="120"/>
            </w:tcMar>
          </w:tcPr>
          <w:p>
            <w:r>
              <w:rPr>
                <w:rFonts w:ascii="Arial" w:cs="Arial" w:eastAsia="Arial" w:hAnsi="Arial"/>
                <w:b/>
                <w:bCs/>
                <w:color w:val="FFFFFF"/>
                <w:sz w:val="21"/>
                <w:szCs w:val="21"/>
              </w:rPr>
              <w:t xml:space="preserve">Variable</w:t>
            </w:r>
          </w:p>
        </w:tc>
        <w:tc>
          <w:tcPr>
            <w:tcW w:type="dxa" w:w="3000"/>
            <w:tcBorders>
              <w:top w:val="single" w:color="D0D0D0" w:sz="4"/>
              <w:left w:val="single" w:color="D0D0D0" w:sz="4"/>
              <w:bottom w:val="single" w:color="D0D0D0" w:sz="4"/>
              <w:right w:val="single" w:color="D0D0D0" w:sz="4"/>
            </w:tcBorders>
            <w:shd w:fill="1565C0" w:val="clear"/>
            <w:tcMar>
              <w:top w:type="dxa" w:w="80"/>
              <w:left w:type="dxa" w:w="120"/>
              <w:bottom w:type="dxa" w:w="80"/>
              <w:right w:type="dxa" w:w="120"/>
            </w:tcMar>
          </w:tcPr>
          <w:p>
            <w:r>
              <w:rPr>
                <w:rFonts w:ascii="Arial" w:cs="Arial" w:eastAsia="Arial" w:hAnsi="Arial"/>
                <w:b/>
                <w:bCs/>
                <w:color w:val="FFFFFF"/>
                <w:sz w:val="21"/>
                <w:szCs w:val="21"/>
              </w:rPr>
              <w:t xml:space="preserve">Description</w:t>
            </w:r>
          </w:p>
        </w:tc>
        <w:tc>
          <w:tcPr>
            <w:tcW w:type="dxa" w:w="3560"/>
            <w:tcBorders>
              <w:top w:val="single" w:color="D0D0D0" w:sz="4"/>
              <w:left w:val="single" w:color="D0D0D0" w:sz="4"/>
              <w:bottom w:val="single" w:color="D0D0D0" w:sz="4"/>
              <w:right w:val="single" w:color="D0D0D0" w:sz="4"/>
            </w:tcBorders>
            <w:shd w:fill="1565C0" w:val="clear"/>
            <w:tcMar>
              <w:top w:type="dxa" w:w="80"/>
              <w:left w:type="dxa" w:w="120"/>
              <w:bottom w:type="dxa" w:w="80"/>
              <w:right w:type="dxa" w:w="120"/>
            </w:tcMar>
          </w:tcPr>
          <w:p>
            <w:r>
              <w:rPr>
                <w:rFonts w:ascii="Arial" w:cs="Arial" w:eastAsia="Arial" w:hAnsi="Arial"/>
                <w:b/>
                <w:bCs/>
                <w:color w:val="FFFFFF"/>
                <w:sz w:val="21"/>
                <w:szCs w:val="21"/>
              </w:rPr>
              <w:t xml:space="preserve">Signal d'alerte</w:t>
            </w:r>
          </w:p>
        </w:tc>
      </w:tr>
      <w:tr>
        <w:tc>
          <w:tcPr>
            <w:tcW w:type="dxa" w:w="25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color w:val="212121"/>
                <w:sz w:val="20"/>
                <w:szCs w:val="20"/>
              </w:rPr>
              <w:t xml:space="preserve">Montant (log)</w:t>
            </w:r>
          </w:p>
        </w:tc>
        <w:tc>
          <w:tcPr>
            <w:tcW w:type="dxa" w:w="30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color w:val="212121"/>
                <w:sz w:val="20"/>
                <w:szCs w:val="20"/>
              </w:rPr>
              <w:t xml:space="preserve">Log(1 + montant)</w:t>
            </w:r>
          </w:p>
        </w:tc>
        <w:tc>
          <w:tcPr>
            <w:tcW w:type="dxa" w:w="35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color w:val="212121"/>
                <w:sz w:val="20"/>
                <w:szCs w:val="20"/>
              </w:rPr>
              <w:t xml:space="preserve">Valeurs extrêmes hors distribution normale</w:t>
            </w:r>
          </w:p>
        </w:tc>
      </w:tr>
      <w:tr>
        <w:tc>
          <w:tcPr>
            <w:tcW w:type="dxa" w:w="25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tcPr>
          <w:p>
            <w:r>
              <w:rPr>
                <w:rFonts w:ascii="Arial" w:cs="Arial" w:eastAsia="Arial" w:hAnsi="Arial"/>
                <w:color w:val="212121"/>
                <w:sz w:val="20"/>
                <w:szCs w:val="20"/>
              </w:rPr>
              <w:t xml:space="preserve">Premier chiffre</w:t>
            </w:r>
          </w:p>
        </w:tc>
        <w:tc>
          <w:tcPr>
            <w:tcW w:type="dxa" w:w="30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tcPr>
          <w:p>
            <w:r>
              <w:rPr>
                <w:rFonts w:ascii="Arial" w:cs="Arial" w:eastAsia="Arial" w:hAnsi="Arial"/>
                <w:color w:val="212121"/>
                <w:sz w:val="20"/>
                <w:szCs w:val="20"/>
              </w:rPr>
              <w:t xml:space="preserve">Premier chiffre significatif</w:t>
            </w:r>
          </w:p>
        </w:tc>
        <w:tc>
          <w:tcPr>
            <w:tcW w:type="dxa" w:w="356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tcPr>
          <w:p>
            <w:r>
              <w:rPr>
                <w:rFonts w:ascii="Arial" w:cs="Arial" w:eastAsia="Arial" w:hAnsi="Arial"/>
                <w:color w:val="212121"/>
                <w:sz w:val="20"/>
                <w:szCs w:val="20"/>
              </w:rPr>
              <w:t xml:space="preserve">Déviation de la loi de Benford</w:t>
            </w:r>
          </w:p>
        </w:tc>
      </w:tr>
      <w:tr>
        <w:tc>
          <w:tcPr>
            <w:tcW w:type="dxa" w:w="25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color w:val="212121"/>
                <w:sz w:val="20"/>
                <w:szCs w:val="20"/>
              </w:rPr>
              <w:t xml:space="preserve">Montant rond</w:t>
            </w:r>
          </w:p>
        </w:tc>
        <w:tc>
          <w:tcPr>
            <w:tcW w:type="dxa" w:w="30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color w:val="212121"/>
                <w:sz w:val="20"/>
                <w:szCs w:val="20"/>
              </w:rPr>
              <w:t xml:space="preserve">Multiples de 500 ou 1000</w:t>
            </w:r>
          </w:p>
        </w:tc>
        <w:tc>
          <w:tcPr>
            <w:tcW w:type="dxa" w:w="35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color w:val="212121"/>
                <w:sz w:val="20"/>
                <w:szCs w:val="20"/>
              </w:rPr>
              <w:t xml:space="preserve">Saisies manuelles suspectes</w:t>
            </w:r>
          </w:p>
        </w:tc>
      </w:tr>
      <w:tr>
        <w:tc>
          <w:tcPr>
            <w:tcW w:type="dxa" w:w="25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tcPr>
          <w:p>
            <w:r>
              <w:rPr>
                <w:rFonts w:ascii="Arial" w:cs="Arial" w:eastAsia="Arial" w:hAnsi="Arial"/>
                <w:color w:val="212121"/>
                <w:sz w:val="20"/>
                <w:szCs w:val="20"/>
              </w:rPr>
              <w:t xml:space="preserve">Jour de semaine</w:t>
            </w:r>
          </w:p>
        </w:tc>
        <w:tc>
          <w:tcPr>
            <w:tcW w:type="dxa" w:w="30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tcPr>
          <w:p>
            <w:r>
              <w:rPr>
                <w:rFonts w:ascii="Arial" w:cs="Arial" w:eastAsia="Arial" w:hAnsi="Arial"/>
                <w:color w:val="212121"/>
                <w:sz w:val="20"/>
                <w:szCs w:val="20"/>
              </w:rPr>
              <w:t xml:space="preserve">Lundi(0) → Dimanche(6)</w:t>
            </w:r>
          </w:p>
        </w:tc>
        <w:tc>
          <w:tcPr>
            <w:tcW w:type="dxa" w:w="356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tcPr>
          <w:p>
            <w:r>
              <w:rPr>
                <w:rFonts w:ascii="Arial" w:cs="Arial" w:eastAsia="Arial" w:hAnsi="Arial"/>
                <w:color w:val="212121"/>
                <w:sz w:val="20"/>
                <w:szCs w:val="20"/>
              </w:rPr>
              <w:t xml:space="preserve">Opérations le week-end</w:t>
            </w:r>
          </w:p>
        </w:tc>
      </w:tr>
      <w:tr>
        <w:tc>
          <w:tcPr>
            <w:tcW w:type="dxa" w:w="25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color w:val="212121"/>
                <w:sz w:val="20"/>
                <w:szCs w:val="20"/>
              </w:rPr>
              <w:t xml:space="preserve">Est weekend</w:t>
            </w:r>
          </w:p>
        </w:tc>
        <w:tc>
          <w:tcPr>
            <w:tcW w:type="dxa" w:w="30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color w:val="212121"/>
                <w:sz w:val="20"/>
                <w:szCs w:val="20"/>
              </w:rPr>
              <w:t xml:space="preserve">Binaire 0/1</w:t>
            </w:r>
          </w:p>
        </w:tc>
        <w:tc>
          <w:tcPr>
            <w:tcW w:type="dxa" w:w="35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color w:val="212121"/>
                <w:sz w:val="20"/>
                <w:szCs w:val="20"/>
              </w:rPr>
              <w:t xml:space="preserve">Fort signal de fraude</w:t>
            </w:r>
          </w:p>
        </w:tc>
      </w:tr>
      <w:tr>
        <w:tc>
          <w:tcPr>
            <w:tcW w:type="dxa" w:w="25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tcPr>
          <w:p>
            <w:r>
              <w:rPr>
                <w:rFonts w:ascii="Arial" w:cs="Arial" w:eastAsia="Arial" w:hAnsi="Arial"/>
                <w:color w:val="212121"/>
                <w:sz w:val="20"/>
                <w:szCs w:val="20"/>
              </w:rPr>
              <w:t xml:space="preserve">Mois</w:t>
            </w:r>
          </w:p>
        </w:tc>
        <w:tc>
          <w:tcPr>
            <w:tcW w:type="dxa" w:w="30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tcPr>
          <w:p>
            <w:r>
              <w:rPr>
                <w:rFonts w:ascii="Arial" w:cs="Arial" w:eastAsia="Arial" w:hAnsi="Arial"/>
                <w:color w:val="212121"/>
                <w:sz w:val="20"/>
                <w:szCs w:val="20"/>
              </w:rPr>
              <w:t xml:space="preserve">Numéro du mois (1-12)</w:t>
            </w:r>
          </w:p>
        </w:tc>
        <w:tc>
          <w:tcPr>
            <w:tcW w:type="dxa" w:w="356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tcPr>
          <w:p>
            <w:r>
              <w:rPr>
                <w:rFonts w:ascii="Arial" w:cs="Arial" w:eastAsia="Arial" w:hAnsi="Arial"/>
                <w:color w:val="212121"/>
                <w:sz w:val="20"/>
                <w:szCs w:val="20"/>
              </w:rPr>
              <w:t xml:space="preserve">Clôtures de période à risque</w:t>
            </w:r>
          </w:p>
        </w:tc>
      </w:tr>
      <w:tr>
        <w:tc>
          <w:tcPr>
            <w:tcW w:type="dxa" w:w="25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color w:val="212121"/>
                <w:sz w:val="20"/>
                <w:szCs w:val="20"/>
              </w:rPr>
              <w:t xml:space="preserve">Compte débit/crédit</w:t>
            </w:r>
          </w:p>
        </w:tc>
        <w:tc>
          <w:tcPr>
            <w:tcW w:type="dxa" w:w="30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color w:val="212121"/>
                <w:sz w:val="20"/>
                <w:szCs w:val="20"/>
              </w:rPr>
              <w:t xml:space="preserve">Encodage label des comptes</w:t>
            </w:r>
          </w:p>
        </w:tc>
        <w:tc>
          <w:tcPr>
            <w:tcW w:type="dxa" w:w="35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color w:val="212121"/>
                <w:sz w:val="20"/>
                <w:szCs w:val="20"/>
              </w:rPr>
              <w:t xml:space="preserve">Comptes inhabituels</w:t>
            </w:r>
          </w:p>
        </w:tc>
      </w:tr>
      <w:tr>
        <w:tc>
          <w:tcPr>
            <w:tcW w:type="dxa" w:w="25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tcPr>
          <w:p>
            <w:r>
              <w:rPr>
                <w:rFonts w:ascii="Arial" w:cs="Arial" w:eastAsia="Arial" w:hAnsi="Arial"/>
                <w:color w:val="212121"/>
                <w:sz w:val="20"/>
                <w:szCs w:val="20"/>
              </w:rPr>
              <w:t xml:space="preserve">Utilisateur</w:t>
            </w:r>
          </w:p>
        </w:tc>
        <w:tc>
          <w:tcPr>
            <w:tcW w:type="dxa" w:w="30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tcPr>
          <w:p>
            <w:r>
              <w:rPr>
                <w:rFonts w:ascii="Arial" w:cs="Arial" w:eastAsia="Arial" w:hAnsi="Arial"/>
                <w:color w:val="212121"/>
                <w:sz w:val="20"/>
                <w:szCs w:val="20"/>
              </w:rPr>
              <w:t xml:space="preserve">Encodage label de l'auteur</w:t>
            </w:r>
          </w:p>
        </w:tc>
        <w:tc>
          <w:tcPr>
            <w:tcW w:type="dxa" w:w="356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tcPr>
          <w:p>
            <w:r>
              <w:rPr>
                <w:rFonts w:ascii="Arial" w:cs="Arial" w:eastAsia="Arial" w:hAnsi="Arial"/>
                <w:color w:val="212121"/>
                <w:sz w:val="20"/>
                <w:szCs w:val="20"/>
              </w:rPr>
              <w:t xml:space="preserve">Utilisateurs à fort historique suspect</w:t>
            </w:r>
          </w:p>
        </w:tc>
      </w:tr>
    </w:tbl>
    <w:p>
      <w:pPr>
        <w:spacing w:before="60" w:after="160"/>
        <w:jc w:val="center"/>
      </w:pPr>
      <w:r>
        <w:rPr>
          <w:rFonts w:ascii="Arial" w:cs="Arial" w:eastAsia="Arial" w:hAnsi="Arial"/>
          <w:i/>
          <w:iCs/>
          <w:color w:val="757575"/>
          <w:sz w:val="18"/>
          <w:szCs w:val="18"/>
        </w:rPr>
        <w:t xml:space="preserve">Tableau 2 — Variables construites pour la détection d'anomalies</w:t>
      </w:r>
    </w:p>
    <w:p>
      <w:r>
        <w:br w:type="page"/>
      </w:r>
    </w:p>
    <w:p>
      <w:pPr>
        <w:pStyle w:val="Heading1"/>
        <w:pBdr>
          <w:bottom w:val="single" w:color="1976D2" w:sz="8" w:space="4"/>
        </w:pBdr>
        <w:spacing w:before="320" w:after="160"/>
      </w:pPr>
      <w:r>
        <w:rPr>
          <w:rFonts w:ascii="Arial" w:cs="Arial" w:eastAsia="Arial" w:hAnsi="Arial"/>
          <w:b/>
          <w:bCs/>
          <w:color w:val="1565C0"/>
          <w:sz w:val="30"/>
          <w:szCs w:val="30"/>
        </w:rPr>
        <w:t xml:space="preserve">3. Analyse de la Loi de Benford</w:t>
      </w:r>
    </w:p>
    <w:p>
      <w:pPr>
        <w:spacing w:before="80" w:after="80"/>
        <w:jc w:val="left"/>
      </w:pPr>
      <w:r>
        <w:rPr>
          <w:rFonts w:ascii="Arial" w:cs="Arial" w:eastAsia="Arial" w:hAnsi="Arial"/>
          <w:b w:val="false"/>
          <w:bCs w:val="false"/>
          <w:i w:val="false"/>
          <w:iCs w:val="false"/>
          <w:color w:val="212121"/>
          <w:sz w:val="22"/>
          <w:szCs w:val="22"/>
        </w:rPr>
        <w:t xml:space="preserve">L'analyse de la loi de Benford a été appliquée sur l'ensemble des 500 écritures comptables du dataset. Le graphique ci-dessous compare la distribution empirique des premiers chiffres significatifs des montants transactionnels avec la distribution théorique de Benford.</w:t>
      </w:r>
    </w:p>
    <w:p>
      <w:pPr>
        <w:spacing w:before="80" w:after="0"/>
      </w:pPr>
      <w:r>
        <w:rPr>
          <w:sz w:val="22"/>
          <w:szCs w:val="22"/>
        </w:rPr>
        <w:t xml:space="preserve"/>
      </w:r>
    </w:p>
    <w:p>
      <w:pPr>
        <w:spacing w:before="120" w:after="120"/>
        <w:jc w:val="center"/>
      </w:pPr>
      <w:r>
        <w:drawing>
          <wp:inline distT="0" distB="0" distL="0" distR="0">
            <wp:extent cx="5334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238500"/>
                    </a:xfrm>
                    <a:prstGeom prst="rect">
                      <a:avLst/>
                    </a:prstGeom>
                  </pic:spPr>
                </pic:pic>
              </a:graphicData>
            </a:graphic>
          </wp:inline>
        </w:drawing>
      </w:r>
    </w:p>
    <w:p>
      <w:pPr>
        <w:spacing w:before="40" w:after="160"/>
        <w:jc w:val="center"/>
      </w:pPr>
      <w:r>
        <w:rPr>
          <w:rFonts w:ascii="Arial" w:cs="Arial" w:eastAsia="Arial" w:hAnsi="Arial"/>
          <w:i/>
          <w:iCs/>
          <w:color w:val="757575"/>
          <w:sz w:val="18"/>
          <w:szCs w:val="18"/>
        </w:rPr>
        <w:t xml:space="preserve">Figure 1 — Distribution des premiers chiffres : données réelles vs loi de Benford théorique</w:t>
      </w:r>
    </w:p>
    <w:p>
      <w:pPr>
        <w:spacing w:before="80" w:after="80"/>
        <w:jc w:val="left"/>
      </w:pPr>
      <w:r>
        <w:rPr>
          <w:rFonts w:ascii="Arial" w:cs="Arial" w:eastAsia="Arial" w:hAnsi="Arial"/>
          <w:b w:val="false"/>
          <w:bCs w:val="false"/>
          <w:i w:val="false"/>
          <w:iCs w:val="false"/>
          <w:color w:val="212121"/>
          <w:sz w:val="22"/>
          <w:szCs w:val="22"/>
        </w:rPr>
        <w:t xml:space="preserve">L'observation du graphique révèle plusieurs points saillants pour l'auditeur :</w:t>
      </w:r>
    </w:p>
    <w:p>
      <w:pPr>
        <w:pStyle w:val="ListParagraph"/>
        <w:numPr>
          <w:ilvl w:val="0"/>
          <w:numId w:val="2"/>
        </w:numPr>
        <w:spacing w:before="60" w:after="60"/>
      </w:pPr>
      <w:r>
        <w:rPr>
          <w:rFonts w:ascii="Arial" w:cs="Arial" w:eastAsia="Arial" w:hAnsi="Arial"/>
          <w:color w:val="212121"/>
          <w:sz w:val="22"/>
          <w:szCs w:val="22"/>
        </w:rPr>
        <w:t xml:space="preserve">Les chiffres 1, 2 et 3 suivent de manière satisfaisante la courbe théorique, ce qui est attendu pour des données financières légitimes</w:t>
      </w:r>
    </w:p>
    <w:p>
      <w:pPr>
        <w:pStyle w:val="ListParagraph"/>
        <w:numPr>
          <w:ilvl w:val="0"/>
          <w:numId w:val="2"/>
        </w:numPr>
        <w:spacing w:before="60" w:after="60"/>
      </w:pPr>
      <w:r>
        <w:rPr>
          <w:rFonts w:ascii="Arial" w:cs="Arial" w:eastAsia="Arial" w:hAnsi="Arial"/>
          <w:color w:val="212121"/>
          <w:sz w:val="22"/>
          <w:szCs w:val="22"/>
        </w:rPr>
        <w:t xml:space="preserve">Une légère surreprésentation des montants commençant par 9 est observable, ce qui peut signaler des transactions de type "smurfing" (fractionnement autour de seuils réglementaires)</w:t>
      </w:r>
    </w:p>
    <w:p>
      <w:pPr>
        <w:pStyle w:val="ListParagraph"/>
        <w:numPr>
          <w:ilvl w:val="0"/>
          <w:numId w:val="2"/>
        </w:numPr>
        <w:spacing w:before="60" w:after="60"/>
      </w:pPr>
      <w:r>
        <w:rPr>
          <w:rFonts w:ascii="Arial" w:cs="Arial" w:eastAsia="Arial" w:hAnsi="Arial"/>
          <w:color w:val="212121"/>
          <w:sz w:val="22"/>
          <w:szCs w:val="22"/>
        </w:rPr>
        <w:t xml:space="preserve">La proximité globale avec la courbe de Benford valide la cohérence générale du dataset, tout en laissant subsister des zones d'attention ciblées</w:t>
      </w:r>
    </w:p>
    <w:p>
      <w:pPr>
        <w:spacing w:before="10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12"/>
              <w:left w:val="single" w:color="E65100" w:sz="12"/>
              <w:bottom w:val="single" w:color="E65100" w:sz="4"/>
              <w:right w:val="single" w:color="E65100" w:sz="4"/>
            </w:tcBorders>
            <w:shd w:fill="FFF8E1" w:val="clear"/>
            <w:tcMar>
              <w:top w:type="dxa" w:w="140"/>
              <w:left w:type="dxa" w:w="200"/>
              <w:bottom w:type="dxa" w:w="140"/>
              <w:right w:type="dxa" w:w="200"/>
            </w:tcMar>
          </w:tcPr>
          <w:p>
            <w:pPr>
              <w:spacing w:before="0" w:after="60"/>
            </w:pPr>
            <w:r>
              <w:rPr>
                <w:rFonts w:ascii="Arial" w:cs="Arial" w:eastAsia="Arial" w:hAnsi="Arial"/>
                <w:b/>
                <w:bCs/>
                <w:color w:val="E65100"/>
                <w:sz w:val="22"/>
                <w:szCs w:val="22"/>
              </w:rPr>
              <w:t xml:space="preserve">Interprétation Audit — Benford</w:t>
            </w:r>
          </w:p>
          <w:p>
            <w:pPr>
              <w:spacing w:before="0" w:after="0"/>
            </w:pPr>
            <w:r>
              <w:rPr>
                <w:rFonts w:ascii="Arial" w:cs="Arial" w:eastAsia="Arial" w:hAnsi="Arial"/>
                <w:color w:val="212121"/>
                <w:sz w:val="21"/>
                <w:szCs w:val="21"/>
              </w:rPr>
              <w:t xml:space="preserve">Des écarts statistiquement significatifs par rapport à la courbe de Benford (notamment sur les chiffres 7, 8, 9) constituent un signal d'alerte de niveau 1. Ils ne prouvent pas la fraude mais justifient un examen approfondi des écritures concernées, notamment en croisant avec les informations sur l'auteur et l'heure de saisie.</w:t>
            </w:r>
          </w:p>
        </w:tc>
      </w:tr>
    </w:tbl>
    <w:p>
      <w:pPr>
        <w:spacing w:before="120" w:after="0"/>
      </w:pPr>
      <w:r>
        <w:rPr>
          <w:sz w:val="22"/>
          <w:szCs w:val="22"/>
        </w:rPr>
        <w:t xml:space="preserve"/>
      </w:r>
    </w:p>
    <w:p>
      <w:pPr>
        <w:pStyle w:val="Heading2"/>
        <w:spacing w:before="240" w:after="120"/>
      </w:pPr>
      <w:r>
        <w:rPr>
          <w:rFonts w:ascii="Arial" w:cs="Arial" w:eastAsia="Arial" w:hAnsi="Arial"/>
          <w:b/>
          <w:bCs/>
          <w:color w:val="1976D2"/>
          <w:sz w:val="25"/>
          <w:szCs w:val="25"/>
        </w:rPr>
        <w:t xml:space="preserve">3.1 Distribution des montants par statut</w:t>
      </w:r>
    </w:p>
    <w:p>
      <w:pPr>
        <w:spacing w:before="80" w:after="80"/>
        <w:jc w:val="left"/>
      </w:pPr>
      <w:r>
        <w:rPr>
          <w:rFonts w:ascii="Arial" w:cs="Arial" w:eastAsia="Arial" w:hAnsi="Arial"/>
          <w:b w:val="false"/>
          <w:bCs w:val="false"/>
          <w:i w:val="false"/>
          <w:iCs w:val="false"/>
          <w:color w:val="212121"/>
          <w:sz w:val="22"/>
          <w:szCs w:val="22"/>
        </w:rPr>
        <w:t xml:space="preserve">La comparaison des distributions de montants entre écritures normales et suspectes fournit un premier filtre statistique robuste :</w:t>
      </w:r>
    </w:p>
    <w:p>
      <w:pPr>
        <w:spacing w:before="80" w:after="0"/>
      </w:pPr>
      <w:r>
        <w:rPr>
          <w:sz w:val="22"/>
          <w:szCs w:val="22"/>
        </w:rPr>
        <w:t xml:space="preserve"/>
      </w:r>
    </w:p>
    <w:p>
      <w:pPr>
        <w:spacing w:before="120" w:after="120"/>
        <w:jc w:val="center"/>
      </w:pPr>
      <w:r>
        <w:drawing>
          <wp:inline distT="0" distB="0" distL="0" distR="0">
            <wp:extent cx="5334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286000"/>
                    </a:xfrm>
                    <a:prstGeom prst="rect">
                      <a:avLst/>
                    </a:prstGeom>
                  </pic:spPr>
                </pic:pic>
              </a:graphicData>
            </a:graphic>
          </wp:inline>
        </w:drawing>
      </w:r>
    </w:p>
    <w:p>
      <w:pPr>
        <w:spacing w:before="40" w:after="160"/>
        <w:jc w:val="center"/>
      </w:pPr>
      <w:r>
        <w:rPr>
          <w:rFonts w:ascii="Arial" w:cs="Arial" w:eastAsia="Arial" w:hAnsi="Arial"/>
          <w:i/>
          <w:iCs/>
          <w:color w:val="757575"/>
          <w:sz w:val="18"/>
          <w:szCs w:val="18"/>
        </w:rPr>
        <w:t xml:space="preserve">Figure 2 — Distribution et boxplot des montants selon le statut (normal vs suspect)</w:t>
      </w:r>
    </w:p>
    <w:p>
      <w:pPr>
        <w:spacing w:before="80" w:after="80"/>
        <w:jc w:val="left"/>
      </w:pPr>
      <w:r>
        <w:rPr>
          <w:rFonts w:ascii="Arial" w:cs="Arial" w:eastAsia="Arial" w:hAnsi="Arial"/>
          <w:b w:val="false"/>
          <w:bCs w:val="false"/>
          <w:i w:val="false"/>
          <w:iCs w:val="false"/>
          <w:color w:val="212121"/>
          <w:sz w:val="22"/>
          <w:szCs w:val="22"/>
        </w:rPr>
        <w:t xml:space="preserve">Les écritures suspectes présentent une distribution de montants significativement différente : elles tendent vers des valeurs plus élevées et plus concentrées (montants ronds), tandis que les écritures normales suivent une distribution log-normale naturelle et continue.</w:t>
      </w:r>
    </w:p>
    <w:p>
      <w:pPr>
        <w:spacing w:before="80" w:after="0"/>
      </w:pPr>
      <w:r>
        <w:rPr>
          <w:sz w:val="22"/>
          <w:szCs w:val="22"/>
        </w:rPr>
        <w:t xml:space="preserve"/>
      </w:r>
    </w:p>
    <w:p>
      <w:r>
        <w:br w:type="page"/>
      </w:r>
    </w:p>
    <w:p>
      <w:pPr>
        <w:pStyle w:val="Heading1"/>
        <w:pBdr>
          <w:bottom w:val="single" w:color="1976D2" w:sz="8" w:space="4"/>
        </w:pBdr>
        <w:spacing w:before="320" w:after="160"/>
      </w:pPr>
      <w:r>
        <w:rPr>
          <w:rFonts w:ascii="Arial" w:cs="Arial" w:eastAsia="Arial" w:hAnsi="Arial"/>
          <w:b/>
          <w:bCs/>
          <w:color w:val="1565C0"/>
          <w:sz w:val="30"/>
          <w:szCs w:val="30"/>
        </w:rPr>
        <w:t xml:space="preserve">4. Modèles de Machine Learning</w:t>
      </w:r>
    </w:p>
    <w:p>
      <w:pPr>
        <w:pStyle w:val="Heading2"/>
        <w:spacing w:before="240" w:after="120"/>
      </w:pPr>
      <w:r>
        <w:rPr>
          <w:rFonts w:ascii="Arial" w:cs="Arial" w:eastAsia="Arial" w:hAnsi="Arial"/>
          <w:b/>
          <w:bCs/>
          <w:color w:val="1976D2"/>
          <w:sz w:val="25"/>
          <w:szCs w:val="25"/>
        </w:rPr>
        <w:t xml:space="preserve">4.1 Random Forest — Résultats</w:t>
      </w:r>
    </w:p>
    <w:p>
      <w:pPr>
        <w:spacing w:before="80" w:after="80"/>
        <w:jc w:val="left"/>
      </w:pPr>
      <w:r>
        <w:rPr>
          <w:rFonts w:ascii="Arial" w:cs="Arial" w:eastAsia="Arial" w:hAnsi="Arial"/>
          <w:b w:val="false"/>
          <w:bCs w:val="false"/>
          <w:i w:val="false"/>
          <w:iCs w:val="false"/>
          <w:color w:val="212121"/>
          <w:sz w:val="22"/>
          <w:szCs w:val="22"/>
        </w:rPr>
        <w:t xml:space="preserve">Le modèle Random Forest a été entraîné sur 70% des données (350 écritures) et évalué sur les 30% restants (150 écritures), en préservant la stratification pour maintenir la proportion de cas suspects dans les deux ensembles.</w:t>
      </w:r>
    </w:p>
    <w:p>
      <w:pPr>
        <w:spacing w:before="8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gridCol w:w="2000"/>
      </w:tblGrid>
      <w:tr>
        <w:trPr>
          <w:tblHeader/>
        </w:trPr>
        <w:tc>
          <w:tcPr>
            <w:tcW w:type="dxa" w:w="2340"/>
            <w:tcBorders>
              <w:top w:val="single" w:color="D0D0D0" w:sz="4"/>
              <w:left w:val="single" w:color="D0D0D0" w:sz="4"/>
              <w:bottom w:val="single" w:color="D0D0D0" w:sz="4"/>
              <w:right w:val="single" w:color="D0D0D0" w:sz="4"/>
            </w:tcBorders>
            <w:shd w:fill="1565C0"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Modèle</w:t>
            </w:r>
          </w:p>
        </w:tc>
        <w:tc>
          <w:tcPr>
            <w:tcW w:type="dxa" w:w="2340"/>
            <w:tcBorders>
              <w:top w:val="single" w:color="D0D0D0" w:sz="4"/>
              <w:left w:val="single" w:color="D0D0D0" w:sz="4"/>
              <w:bottom w:val="single" w:color="D0D0D0" w:sz="4"/>
              <w:right w:val="single" w:color="D0D0D0" w:sz="4"/>
            </w:tcBorders>
            <w:shd w:fill="1565C0"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Accuracy</w:t>
            </w:r>
          </w:p>
        </w:tc>
        <w:tc>
          <w:tcPr>
            <w:tcW w:type="dxa" w:w="2340"/>
            <w:tcBorders>
              <w:top w:val="single" w:color="D0D0D0" w:sz="4"/>
              <w:left w:val="single" w:color="D0D0D0" w:sz="4"/>
              <w:bottom w:val="single" w:color="D0D0D0" w:sz="4"/>
              <w:right w:val="single" w:color="D0D0D0" w:sz="4"/>
            </w:tcBorders>
            <w:shd w:fill="1565C0"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Précision</w:t>
            </w:r>
          </w:p>
        </w:tc>
        <w:tc>
          <w:tcPr>
            <w:tcW w:type="dxa" w:w="2340"/>
            <w:tcBorders>
              <w:top w:val="single" w:color="D0D0D0" w:sz="4"/>
              <w:left w:val="single" w:color="D0D0D0" w:sz="4"/>
              <w:bottom w:val="single" w:color="D0D0D0" w:sz="4"/>
              <w:right w:val="single" w:color="D0D0D0" w:sz="4"/>
            </w:tcBorders>
            <w:shd w:fill="1565C0"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Rappel</w:t>
            </w:r>
          </w:p>
        </w:tc>
        <w:tc>
          <w:tcPr>
            <w:tcW w:type="dxa" w:w="2340"/>
            <w:tcBorders>
              <w:top w:val="single" w:color="D0D0D0" w:sz="4"/>
              <w:left w:val="single" w:color="D0D0D0" w:sz="4"/>
              <w:bottom w:val="single" w:color="D0D0D0" w:sz="4"/>
              <w:right w:val="single" w:color="D0D0D0" w:sz="4"/>
            </w:tcBorders>
            <w:shd w:fill="1565C0"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F1-Score</w:t>
            </w:r>
          </w:p>
        </w:tc>
      </w:tr>
      <w:tr>
        <w:tc>
          <w:tcPr>
            <w:tcW w:type="dxa" w:w="2340"/>
            <w:tcBorders>
              <w:top w:val="single" w:color="D0D0D0" w:sz="4"/>
              <w:left w:val="single" w:color="D0D0D0" w:sz="4"/>
              <w:bottom w:val="single" w:color="D0D0D0" w:sz="4"/>
              <w:right w:val="single" w:color="D0D0D0" w:sz="4"/>
            </w:tcBorders>
            <w:shd w:fill="E3F2FD" w:val="clear"/>
            <w:tcMar>
              <w:top w:type="dxa" w:w="100"/>
              <w:left w:type="dxa" w:w="140"/>
              <w:bottom w:type="dxa" w:w="100"/>
              <w:right w:type="dxa" w:w="140"/>
            </w:tcMar>
            <w:vAlign w:val="center"/>
          </w:tcPr>
          <w:p>
            <w:pPr>
              <w:jc w:val="center"/>
            </w:pPr>
            <w:r>
              <w:rPr>
                <w:rFonts w:ascii="Arial" w:cs="Arial" w:eastAsia="Arial" w:hAnsi="Arial"/>
                <w:b/>
                <w:bCs/>
                <w:color w:val="1565C0"/>
                <w:sz w:val="21"/>
                <w:szCs w:val="21"/>
              </w:rPr>
              <w:t xml:space="preserve">Random Forest</w:t>
            </w:r>
          </w:p>
        </w:tc>
        <w:tc>
          <w:tcPr>
            <w:tcW w:type="dxa" w:w="2340"/>
            <w:tcBorders>
              <w:top w:val="single" w:color="D0D0D0" w:sz="4"/>
              <w:left w:val="single" w:color="D0D0D0" w:sz="4"/>
              <w:bottom w:val="single" w:color="D0D0D0" w:sz="4"/>
              <w:right w:val="single" w:color="D0D0D0" w:sz="4"/>
            </w:tcBorders>
            <w:shd w:fill="E8F5E9" w:val="clear"/>
            <w:tcMar>
              <w:top w:type="dxa" w:w="100"/>
              <w:left w:type="dxa" w:w="140"/>
              <w:bottom w:type="dxa" w:w="100"/>
              <w:right w:type="dxa" w:w="140"/>
            </w:tcMar>
            <w:vAlign w:val="center"/>
          </w:tcPr>
          <w:p>
            <w:pPr>
              <w:jc w:val="center"/>
            </w:pPr>
            <w:r>
              <w:rPr>
                <w:rFonts w:ascii="Arial" w:cs="Arial" w:eastAsia="Arial" w:hAnsi="Arial"/>
                <w:b w:val="false"/>
                <w:bCs w:val="false"/>
                <w:color w:val="2E7D32"/>
                <w:sz w:val="21"/>
                <w:szCs w:val="21"/>
              </w:rPr>
              <w:t xml:space="preserve">100.0%</w:t>
            </w:r>
          </w:p>
        </w:tc>
        <w:tc>
          <w:tcPr>
            <w:tcW w:type="dxa" w:w="2340"/>
            <w:tcBorders>
              <w:top w:val="single" w:color="D0D0D0" w:sz="4"/>
              <w:left w:val="single" w:color="D0D0D0" w:sz="4"/>
              <w:bottom w:val="single" w:color="D0D0D0" w:sz="4"/>
              <w:right w:val="single" w:color="D0D0D0" w:sz="4"/>
            </w:tcBorders>
            <w:shd w:fill="E8F5E9" w:val="clear"/>
            <w:tcMar>
              <w:top w:type="dxa" w:w="100"/>
              <w:left w:type="dxa" w:w="140"/>
              <w:bottom w:type="dxa" w:w="100"/>
              <w:right w:type="dxa" w:w="140"/>
            </w:tcMar>
            <w:vAlign w:val="center"/>
          </w:tcPr>
          <w:p>
            <w:pPr>
              <w:jc w:val="center"/>
            </w:pPr>
            <w:r>
              <w:rPr>
                <w:rFonts w:ascii="Arial" w:cs="Arial" w:eastAsia="Arial" w:hAnsi="Arial"/>
                <w:b w:val="false"/>
                <w:bCs w:val="false"/>
                <w:color w:val="2E7D32"/>
                <w:sz w:val="21"/>
                <w:szCs w:val="21"/>
              </w:rPr>
              <w:t xml:space="preserve">100.0%</w:t>
            </w:r>
          </w:p>
        </w:tc>
        <w:tc>
          <w:tcPr>
            <w:tcW w:type="dxa" w:w="2340"/>
            <w:tcBorders>
              <w:top w:val="single" w:color="D0D0D0" w:sz="4"/>
              <w:left w:val="single" w:color="D0D0D0" w:sz="4"/>
              <w:bottom w:val="single" w:color="D0D0D0" w:sz="4"/>
              <w:right w:val="single" w:color="D0D0D0" w:sz="4"/>
            </w:tcBorders>
            <w:shd w:fill="E8F5E9" w:val="clear"/>
            <w:tcMar>
              <w:top w:type="dxa" w:w="100"/>
              <w:left w:type="dxa" w:w="140"/>
              <w:bottom w:type="dxa" w:w="100"/>
              <w:right w:type="dxa" w:w="140"/>
            </w:tcMar>
            <w:vAlign w:val="center"/>
          </w:tcPr>
          <w:p>
            <w:pPr>
              <w:jc w:val="center"/>
            </w:pPr>
            <w:r>
              <w:rPr>
                <w:rFonts w:ascii="Arial" w:cs="Arial" w:eastAsia="Arial" w:hAnsi="Arial"/>
                <w:b w:val="false"/>
                <w:bCs w:val="false"/>
                <w:color w:val="2E7D32"/>
                <w:sz w:val="21"/>
                <w:szCs w:val="21"/>
              </w:rPr>
              <w:t xml:space="preserve">100.0%</w:t>
            </w:r>
          </w:p>
        </w:tc>
        <w:tc>
          <w:tcPr>
            <w:tcW w:type="dxa" w:w="2340"/>
            <w:tcBorders>
              <w:top w:val="single" w:color="D0D0D0" w:sz="4"/>
              <w:left w:val="single" w:color="D0D0D0" w:sz="4"/>
              <w:bottom w:val="single" w:color="D0D0D0" w:sz="4"/>
              <w:right w:val="single" w:color="D0D0D0" w:sz="4"/>
            </w:tcBorders>
            <w:shd w:fill="E8F5E9" w:val="clear"/>
            <w:tcMar>
              <w:top w:type="dxa" w:w="100"/>
              <w:left w:type="dxa" w:w="140"/>
              <w:bottom w:type="dxa" w:w="100"/>
              <w:right w:type="dxa" w:w="140"/>
            </w:tcMar>
            <w:vAlign w:val="center"/>
          </w:tcPr>
          <w:p>
            <w:pPr>
              <w:jc w:val="center"/>
            </w:pPr>
            <w:r>
              <w:rPr>
                <w:rFonts w:ascii="Arial" w:cs="Arial" w:eastAsia="Arial" w:hAnsi="Arial"/>
                <w:b w:val="false"/>
                <w:bCs w:val="false"/>
                <w:color w:val="2E7D32"/>
                <w:sz w:val="21"/>
                <w:szCs w:val="21"/>
              </w:rPr>
              <w:t xml:space="preserve">100.0%</w:t>
            </w:r>
          </w:p>
        </w:tc>
      </w:tr>
      <w:tr>
        <w:tc>
          <w:tcPr>
            <w:tcW w:type="dxa" w:w="2340"/>
            <w:tcBorders>
              <w:top w:val="single" w:color="D0D0D0" w:sz="4"/>
              <w:left w:val="single" w:color="D0D0D0" w:sz="4"/>
              <w:bottom w:val="single" w:color="D0D0D0" w:sz="4"/>
              <w:right w:val="single" w:color="D0D0D0" w:sz="4"/>
            </w:tcBorders>
            <w:shd w:fill="F5F5F5" w:val="clear"/>
            <w:tcMar>
              <w:top w:type="dxa" w:w="100"/>
              <w:left w:type="dxa" w:w="140"/>
              <w:bottom w:type="dxa" w:w="100"/>
              <w:right w:type="dxa" w:w="140"/>
            </w:tcMar>
            <w:vAlign w:val="center"/>
          </w:tcPr>
          <w:p>
            <w:pPr>
              <w:jc w:val="center"/>
            </w:pPr>
            <w:r>
              <w:rPr>
                <w:rFonts w:ascii="Arial" w:cs="Arial" w:eastAsia="Arial" w:hAnsi="Arial"/>
                <w:b/>
                <w:bCs/>
                <w:color w:val="212121"/>
                <w:sz w:val="21"/>
                <w:szCs w:val="21"/>
              </w:rPr>
              <w:t xml:space="preserve">Isolation Forest</w:t>
            </w:r>
          </w:p>
        </w:tc>
        <w:tc>
          <w:tcPr>
            <w:tcW w:type="dxa" w:w="2340"/>
            <w:tcBorders>
              <w:top w:val="single" w:color="D0D0D0" w:sz="4"/>
              <w:left w:val="single" w:color="D0D0D0" w:sz="4"/>
              <w:bottom w:val="single" w:color="D0D0D0" w:sz="4"/>
              <w:right w:val="single" w:color="D0D0D0" w:sz="4"/>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color w:val="212121"/>
                <w:sz w:val="21"/>
                <w:szCs w:val="21"/>
              </w:rPr>
              <w:t xml:space="preserve">95.6%</w:t>
            </w:r>
          </w:p>
        </w:tc>
        <w:tc>
          <w:tcPr>
            <w:tcW w:type="dxa" w:w="2340"/>
            <w:tcBorders>
              <w:top w:val="single" w:color="D0D0D0" w:sz="4"/>
              <w:left w:val="single" w:color="D0D0D0" w:sz="4"/>
              <w:bottom w:val="single" w:color="D0D0D0" w:sz="4"/>
              <w:right w:val="single" w:color="D0D0D0" w:sz="4"/>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color w:val="212121"/>
                <w:sz w:val="21"/>
                <w:szCs w:val="21"/>
              </w:rPr>
              <w:t xml:space="preserve">75.6%</w:t>
            </w:r>
          </w:p>
        </w:tc>
        <w:tc>
          <w:tcPr>
            <w:tcW w:type="dxa" w:w="2340"/>
            <w:tcBorders>
              <w:top w:val="single" w:color="D0D0D0" w:sz="4"/>
              <w:left w:val="single" w:color="D0D0D0" w:sz="4"/>
              <w:bottom w:val="single" w:color="D0D0D0" w:sz="4"/>
              <w:right w:val="single" w:color="D0D0D0" w:sz="4"/>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color w:val="212121"/>
                <w:sz w:val="21"/>
                <w:szCs w:val="21"/>
              </w:rPr>
              <w:t xml:space="preserve">75.6%</w:t>
            </w:r>
          </w:p>
        </w:tc>
        <w:tc>
          <w:tcPr>
            <w:tcW w:type="dxa" w:w="2340"/>
            <w:tcBorders>
              <w:top w:val="single" w:color="D0D0D0" w:sz="4"/>
              <w:left w:val="single" w:color="D0D0D0" w:sz="4"/>
              <w:bottom w:val="single" w:color="D0D0D0" w:sz="4"/>
              <w:right w:val="single" w:color="D0D0D0" w:sz="4"/>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color w:val="212121"/>
                <w:sz w:val="21"/>
                <w:szCs w:val="21"/>
              </w:rPr>
              <w:t xml:space="preserve">75.6%</w:t>
            </w:r>
          </w:p>
        </w:tc>
      </w:tr>
    </w:tbl>
    <w:p>
      <w:pPr>
        <w:spacing w:before="60" w:after="140"/>
        <w:jc w:val="center"/>
      </w:pPr>
      <w:r>
        <w:rPr>
          <w:rFonts w:ascii="Arial" w:cs="Arial" w:eastAsia="Arial" w:hAnsi="Arial"/>
          <w:i/>
          <w:iCs/>
          <w:color w:val="757575"/>
          <w:sz w:val="18"/>
          <w:szCs w:val="18"/>
        </w:rPr>
        <w:t xml:space="preserve">Tableau 3 — Métriques de performance comparées des deux modèles</w:t>
      </w:r>
    </w:p>
    <w:p>
      <w:pPr>
        <w:spacing w:before="80" w:after="80"/>
        <w:jc w:val="left"/>
      </w:pPr>
      <w:r>
        <w:rPr>
          <w:rFonts w:ascii="Arial" w:cs="Arial" w:eastAsia="Arial" w:hAnsi="Arial"/>
          <w:b w:val="false"/>
          <w:bCs w:val="false"/>
          <w:i w:val="false"/>
          <w:iCs w:val="false"/>
          <w:color w:val="212121"/>
          <w:sz w:val="22"/>
          <w:szCs w:val="22"/>
        </w:rPr>
        <w:t xml:space="preserve">Le Random Forest atteint des performances exceptionnelles sur ce dataset, grâce à la nature structurée des anomalies injectées. Les caractéristiques des fraudes (montants ronds, week-ends, utilisateurs atypiques) sont suffisamment discriminantes pour permettre une séparation quasi-parfaite.</w:t>
      </w:r>
    </w:p>
    <w:p>
      <w:pPr>
        <w:spacing w:before="100" w:after="0"/>
      </w:pPr>
      <w:r>
        <w:rPr>
          <w:sz w:val="22"/>
          <w:szCs w:val="22"/>
        </w:rPr>
        <w:t xml:space="preserve"/>
      </w:r>
    </w:p>
    <w:p>
      <w:pPr>
        <w:pStyle w:val="Heading2"/>
        <w:spacing w:before="240" w:after="120"/>
      </w:pPr>
      <w:r>
        <w:rPr>
          <w:rFonts w:ascii="Arial" w:cs="Arial" w:eastAsia="Arial" w:hAnsi="Arial"/>
          <w:b/>
          <w:bCs/>
          <w:color w:val="1976D2"/>
          <w:sz w:val="25"/>
          <w:szCs w:val="25"/>
        </w:rPr>
        <w:t xml:space="preserve">4.2 Matrice de confusion</w:t>
      </w:r>
    </w:p>
    <w:p>
      <w:pPr>
        <w:spacing w:before="60" w:after="0"/>
      </w:pPr>
      <w:r>
        <w:rPr>
          <w:sz w:val="22"/>
          <w:szCs w:val="22"/>
        </w:rPr>
        <w:t xml:space="preserve"/>
      </w:r>
    </w:p>
    <w:p>
      <w:pPr>
        <w:spacing w:before="120" w:after="120"/>
        <w:jc w:val="center"/>
      </w:pPr>
      <w:r>
        <w:drawing>
          <wp:inline distT="0" distB="0" distL="0" distR="0">
            <wp:extent cx="3619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2667000"/>
                    </a:xfrm>
                    <a:prstGeom prst="rect">
                      <a:avLst/>
                    </a:prstGeom>
                  </pic:spPr>
                </pic:pic>
              </a:graphicData>
            </a:graphic>
          </wp:inline>
        </w:drawing>
      </w:r>
    </w:p>
    <w:p>
      <w:pPr>
        <w:spacing w:before="40" w:after="160"/>
        <w:jc w:val="center"/>
      </w:pPr>
      <w:r>
        <w:rPr>
          <w:rFonts w:ascii="Arial" w:cs="Arial" w:eastAsia="Arial" w:hAnsi="Arial"/>
          <w:i/>
          <w:iCs/>
          <w:color w:val="757575"/>
          <w:sz w:val="18"/>
          <w:szCs w:val="18"/>
        </w:rPr>
        <w:t xml:space="preserve">Figure 3 — Matrice de confusion du modèle Random Forest sur l'ensemble de test</w:t>
      </w:r>
    </w:p>
    <w:p>
      <w:pPr>
        <w:spacing w:before="80" w:after="80"/>
        <w:jc w:val="left"/>
      </w:pPr>
      <w:r>
        <w:rPr>
          <w:rFonts w:ascii="Arial" w:cs="Arial" w:eastAsia="Arial" w:hAnsi="Arial"/>
          <w:b w:val="false"/>
          <w:bCs w:val="false"/>
          <w:i w:val="false"/>
          <w:iCs w:val="false"/>
          <w:color w:val="212121"/>
          <w:sz w:val="22"/>
          <w:szCs w:val="22"/>
        </w:rPr>
        <w:t xml:space="preserve">La lecture de la matrice de confusion est centrale pour l'auditeur :</w:t>
      </w:r>
    </w:p>
    <w:p>
      <w:pPr>
        <w:pStyle w:val="ListParagraph"/>
        <w:numPr>
          <w:ilvl w:val="0"/>
          <w:numId w:val="2"/>
        </w:numPr>
        <w:spacing w:before="60" w:after="60"/>
      </w:pPr>
      <w:r>
        <w:rPr>
          <w:rFonts w:ascii="Arial" w:cs="Arial" w:eastAsia="Arial" w:hAnsi="Arial"/>
          <w:color w:val="212121"/>
          <w:sz w:val="22"/>
          <w:szCs w:val="22"/>
        </w:rPr>
        <w:t xml:space="preserve">Vrais Positifs (VP) : écritures suspectes correctement détectées — l'objectif prioritaire de l'audit</w:t>
      </w:r>
    </w:p>
    <w:p>
      <w:pPr>
        <w:pStyle w:val="ListParagraph"/>
        <w:numPr>
          <w:ilvl w:val="0"/>
          <w:numId w:val="2"/>
        </w:numPr>
        <w:spacing w:before="60" w:after="60"/>
      </w:pPr>
      <w:r>
        <w:rPr>
          <w:rFonts w:ascii="Arial" w:cs="Arial" w:eastAsia="Arial" w:hAnsi="Arial"/>
          <w:color w:val="212121"/>
          <w:sz w:val="22"/>
          <w:szCs w:val="22"/>
        </w:rPr>
        <w:t xml:space="preserve">Faux Positifs (FP) : écritures normales classées à tort comme suspectes — génèrent du travail supplémentaire non justifié</w:t>
      </w:r>
    </w:p>
    <w:p>
      <w:pPr>
        <w:pStyle w:val="ListParagraph"/>
        <w:numPr>
          <w:ilvl w:val="0"/>
          <w:numId w:val="2"/>
        </w:numPr>
        <w:spacing w:before="60" w:after="60"/>
      </w:pPr>
      <w:r>
        <w:rPr>
          <w:rFonts w:ascii="Arial" w:cs="Arial" w:eastAsia="Arial" w:hAnsi="Arial"/>
          <w:color w:val="212121"/>
          <w:sz w:val="22"/>
          <w:szCs w:val="22"/>
        </w:rPr>
        <w:t xml:space="preserve">Faux Négatifs (FN) : écritures suspectes non détectées — le risque le plus grave pour l'audit</w:t>
      </w:r>
    </w:p>
    <w:p>
      <w:pPr>
        <w:spacing w:before="8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12"/>
              <w:left w:val="single" w:color="C62828" w:sz="12"/>
              <w:bottom w:val="single" w:color="C62828" w:sz="4"/>
              <w:right w:val="single" w:color="C62828" w:sz="4"/>
            </w:tcBorders>
            <w:shd w:fill="FFEBEE" w:val="clear"/>
            <w:tcMar>
              <w:top w:type="dxa" w:w="140"/>
              <w:left w:type="dxa" w:w="200"/>
              <w:bottom w:type="dxa" w:w="140"/>
              <w:right w:type="dxa" w:w="200"/>
            </w:tcMar>
          </w:tcPr>
          <w:p>
            <w:pPr>
              <w:spacing w:before="0" w:after="60"/>
            </w:pPr>
            <w:r>
              <w:rPr>
                <w:rFonts w:ascii="Arial" w:cs="Arial" w:eastAsia="Arial" w:hAnsi="Arial"/>
                <w:b/>
                <w:bCs/>
                <w:color w:val="C62828"/>
                <w:sz w:val="22"/>
                <w:szCs w:val="22"/>
              </w:rPr>
              <w:t xml:space="preserve">Arbitrage Précision / Rappel en Audit</w:t>
            </w:r>
          </w:p>
          <w:p>
            <w:pPr>
              <w:spacing w:before="0" w:after="0"/>
            </w:pPr>
            <w:r>
              <w:rPr>
                <w:rFonts w:ascii="Arial" w:cs="Arial" w:eastAsia="Arial" w:hAnsi="Arial"/>
                <w:color w:val="212121"/>
                <w:sz w:val="21"/>
                <w:szCs w:val="21"/>
              </w:rPr>
              <w:t xml:space="preserve">En contexte d'audit, il est généralement préférable de maximiser le rappel (recall) quitte à augmenter les faux positifs. Il vaut mieux investiguer 10 écritures supplémentaires non frauduleuses que de laisser passer une fraude réelle. Le seuil de classification peut être ajusté en ce sens.</w:t>
            </w:r>
          </w:p>
        </w:tc>
      </w:tr>
    </w:tbl>
    <w:p>
      <w:pPr>
        <w:spacing w:before="120" w:after="0"/>
      </w:pPr>
      <w:r>
        <w:rPr>
          <w:sz w:val="22"/>
          <w:szCs w:val="22"/>
        </w:rPr>
        <w:t xml:space="preserve"/>
      </w:r>
    </w:p>
    <w:p>
      <w:pPr>
        <w:pStyle w:val="Heading2"/>
        <w:spacing w:before="240" w:after="120"/>
      </w:pPr>
      <w:r>
        <w:rPr>
          <w:rFonts w:ascii="Arial" w:cs="Arial" w:eastAsia="Arial" w:hAnsi="Arial"/>
          <w:b/>
          <w:bCs/>
          <w:color w:val="1976D2"/>
          <w:sz w:val="25"/>
          <w:szCs w:val="25"/>
        </w:rPr>
        <w:t xml:space="preserve">4.3 Importance des variables</w:t>
      </w:r>
    </w:p>
    <w:p>
      <w:pPr>
        <w:spacing w:before="60" w:after="0"/>
      </w:pPr>
      <w:r>
        <w:rPr>
          <w:sz w:val="22"/>
          <w:szCs w:val="22"/>
        </w:rPr>
        <w:t xml:space="preserve"/>
      </w:r>
    </w:p>
    <w:p>
      <w:pPr>
        <w:spacing w:before="120" w:after="120"/>
        <w:jc w:val="center"/>
      </w:pPr>
      <w:r>
        <w:drawing>
          <wp:inline distT="0" distB="0" distL="0" distR="0">
            <wp:extent cx="53340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143250"/>
                    </a:xfrm>
                    <a:prstGeom prst="rect">
                      <a:avLst/>
                    </a:prstGeom>
                  </pic:spPr>
                </pic:pic>
              </a:graphicData>
            </a:graphic>
          </wp:inline>
        </w:drawing>
      </w:r>
    </w:p>
    <w:p>
      <w:pPr>
        <w:spacing w:before="40" w:after="160"/>
        <w:jc w:val="center"/>
      </w:pPr>
      <w:r>
        <w:rPr>
          <w:rFonts w:ascii="Arial" w:cs="Arial" w:eastAsia="Arial" w:hAnsi="Arial"/>
          <w:i/>
          <w:iCs/>
          <w:color w:val="757575"/>
          <w:sz w:val="18"/>
          <w:szCs w:val="18"/>
        </w:rPr>
        <w:t xml:space="preserve">Figure 4 — Importance des variables selon le modèle Random Forest (score Gini)</w:t>
      </w:r>
    </w:p>
    <w:p>
      <w:pPr>
        <w:spacing w:before="80" w:after="80"/>
        <w:jc w:val="left"/>
      </w:pPr>
      <w:r>
        <w:rPr>
          <w:rFonts w:ascii="Arial" w:cs="Arial" w:eastAsia="Arial" w:hAnsi="Arial"/>
          <w:b w:val="false"/>
          <w:bCs w:val="false"/>
          <w:i w:val="false"/>
          <w:iCs w:val="false"/>
          <w:color w:val="212121"/>
          <w:sz w:val="22"/>
          <w:szCs w:val="22"/>
        </w:rPr>
        <w:t xml:space="preserve">L'analyse des variables les plus discriminantes révèle la hiérarchie des signaux d'alerte :</w:t>
      </w:r>
    </w:p>
    <w:p>
      <w:pPr>
        <w:pStyle w:val="ListParagraph"/>
        <w:numPr>
          <w:ilvl w:val="0"/>
          <w:numId w:val="2"/>
        </w:numPr>
        <w:spacing w:before="60" w:after="60"/>
      </w:pPr>
      <w:r>
        <w:rPr>
          <w:rFonts w:ascii="Arial" w:cs="Arial" w:eastAsia="Arial" w:hAnsi="Arial"/>
          <w:color w:val="212121"/>
          <w:sz w:val="22"/>
          <w:szCs w:val="22"/>
        </w:rPr>
        <w:t xml:space="preserve">Le montant (brut et logarithmique) est le facteur le plus discriminant — les anomalies présentent des montants hors distribution normale</w:t>
      </w:r>
    </w:p>
    <w:p>
      <w:pPr>
        <w:pStyle w:val="ListParagraph"/>
        <w:numPr>
          <w:ilvl w:val="0"/>
          <w:numId w:val="2"/>
        </w:numPr>
        <w:spacing w:before="60" w:after="60"/>
      </w:pPr>
      <w:r>
        <w:rPr>
          <w:rFonts w:ascii="Arial" w:cs="Arial" w:eastAsia="Arial" w:hAnsi="Arial"/>
          <w:color w:val="212121"/>
          <w:sz w:val="22"/>
          <w:szCs w:val="22"/>
        </w:rPr>
        <w:t xml:space="preserve">Le premier chiffre significatif valide empiriquement l'utilité de l'analyse de Benford comme variable prédictive</w:t>
      </w:r>
    </w:p>
    <w:p>
      <w:pPr>
        <w:pStyle w:val="ListParagraph"/>
        <w:numPr>
          <w:ilvl w:val="0"/>
          <w:numId w:val="2"/>
        </w:numPr>
        <w:spacing w:before="60" w:after="60"/>
      </w:pPr>
      <w:r>
        <w:rPr>
          <w:rFonts w:ascii="Arial" w:cs="Arial" w:eastAsia="Arial" w:hAnsi="Arial"/>
          <w:color w:val="212121"/>
          <w:sz w:val="22"/>
          <w:szCs w:val="22"/>
        </w:rPr>
        <w:t xml:space="preserve">Le caractère "montant rond" (multiples de 500/1000) est fortement associé aux fraudes de type ajustement manuel</w:t>
      </w:r>
    </w:p>
    <w:p>
      <w:pPr>
        <w:pStyle w:val="ListParagraph"/>
        <w:numPr>
          <w:ilvl w:val="0"/>
          <w:numId w:val="2"/>
        </w:numPr>
        <w:spacing w:before="60" w:after="60"/>
      </w:pPr>
      <w:r>
        <w:rPr>
          <w:rFonts w:ascii="Arial" w:cs="Arial" w:eastAsia="Arial" w:hAnsi="Arial"/>
          <w:color w:val="212121"/>
          <w:sz w:val="22"/>
          <w:szCs w:val="22"/>
        </w:rPr>
        <w:t xml:space="preserve">Les variables utilisateur et compte fournissent un signal complémentaire mais moins dominant</w:t>
      </w:r>
    </w:p>
    <w:p>
      <w:pPr>
        <w:spacing w:before="80" w:after="0"/>
      </w:pPr>
      <w:r>
        <w:rPr>
          <w:sz w:val="22"/>
          <w:szCs w:val="22"/>
        </w:rPr>
        <w:t xml:space="preserve"/>
      </w:r>
    </w:p>
    <w:p>
      <w:r>
        <w:br w:type="page"/>
      </w:r>
    </w:p>
    <w:p>
      <w:pPr>
        <w:pStyle w:val="Heading1"/>
        <w:pBdr>
          <w:bottom w:val="single" w:color="1976D2" w:sz="8" w:space="4"/>
        </w:pBdr>
        <w:spacing w:before="320" w:after="160"/>
      </w:pPr>
      <w:r>
        <w:rPr>
          <w:rFonts w:ascii="Arial" w:cs="Arial" w:eastAsia="Arial" w:hAnsi="Arial"/>
          <w:b/>
          <w:bCs/>
          <w:color w:val="1565C0"/>
          <w:sz w:val="30"/>
          <w:szCs w:val="30"/>
        </w:rPr>
        <w:t xml:space="preserve">5. Projection PCA et Visualisation des Anomalies</w:t>
      </w:r>
    </w:p>
    <w:p>
      <w:pPr>
        <w:spacing w:before="80" w:after="80"/>
        <w:jc w:val="left"/>
      </w:pPr>
      <w:r>
        <w:rPr>
          <w:rFonts w:ascii="Arial" w:cs="Arial" w:eastAsia="Arial" w:hAnsi="Arial"/>
          <w:b w:val="false"/>
          <w:bCs w:val="false"/>
          <w:i w:val="false"/>
          <w:iCs w:val="false"/>
          <w:color w:val="212121"/>
          <w:sz w:val="22"/>
          <w:szCs w:val="22"/>
        </w:rPr>
        <w:t xml:space="preserve">La projection par Analyse en Composantes Principales (PCA) permet de visualiser en deux dimensions la séparation entre écritures normales et suspectes dans un espace de haute dimension. C'est un outil visuel puissant pour communiquer les résultats à la direction.</w:t>
      </w:r>
    </w:p>
    <w:p>
      <w:pPr>
        <w:spacing w:before="80" w:after="0"/>
      </w:pPr>
      <w:r>
        <w:rPr>
          <w:sz w:val="22"/>
          <w:szCs w:val="22"/>
        </w:rPr>
        <w:t xml:space="preserve"/>
      </w:r>
    </w:p>
    <w:p>
      <w:pPr>
        <w:spacing w:before="120" w:after="120"/>
        <w:jc w:val="center"/>
      </w:pPr>
      <w:r>
        <w:drawing>
          <wp:inline distT="0" distB="0" distL="0" distR="0">
            <wp:extent cx="55245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714750"/>
                    </a:xfrm>
                    <a:prstGeom prst="rect">
                      <a:avLst/>
                    </a:prstGeom>
                  </pic:spPr>
                </pic:pic>
              </a:graphicData>
            </a:graphic>
          </wp:inline>
        </w:drawing>
      </w:r>
    </w:p>
    <w:p>
      <w:pPr>
        <w:spacing w:before="40" w:after="160"/>
        <w:jc w:val="center"/>
      </w:pPr>
      <w:r>
        <w:rPr>
          <w:rFonts w:ascii="Arial" w:cs="Arial" w:eastAsia="Arial" w:hAnsi="Arial"/>
          <w:i/>
          <w:iCs/>
          <w:color w:val="757575"/>
          <w:sz w:val="18"/>
          <w:szCs w:val="18"/>
        </w:rPr>
        <w:t xml:space="preserve">Figure 5 — Projection PCA — Séparation des écritures normales (vert) et suspectes (rouge ×)</w:t>
      </w:r>
    </w:p>
    <w:p>
      <w:pPr>
        <w:spacing w:before="80" w:after="100"/>
        <w:jc w:val="left"/>
      </w:pPr>
      <w:r>
        <w:rPr>
          <w:rFonts w:ascii="Arial" w:cs="Arial" w:eastAsia="Arial" w:hAnsi="Arial"/>
          <w:b w:val="false"/>
          <w:bCs w:val="false"/>
          <w:i w:val="false"/>
          <w:iCs w:val="false"/>
          <w:color w:val="212121"/>
          <w:sz w:val="22"/>
          <w:szCs w:val="22"/>
        </w:rPr>
        <w:t xml:space="preserve">La projection PCA confirme visuellement la séparabilité des deux classes. Les écritures suspectes (marqueurs ×) forment des clusters distincts dans l'espace des composantes principales, bien séparés de la masse des transactions normales. Cette séparation nette explique les excellentes performances du Random Forest.</w:t>
      </w:r>
    </w:p>
    <w:p>
      <w:pPr>
        <w:spacing w:before="80" w:after="80"/>
        <w:jc w:val="left"/>
      </w:pPr>
      <w:r>
        <w:rPr>
          <w:rFonts w:ascii="Arial" w:cs="Arial" w:eastAsia="Arial" w:hAnsi="Arial"/>
          <w:b w:val="false"/>
          <w:bCs w:val="false"/>
          <w:i w:val="false"/>
          <w:iCs w:val="false"/>
          <w:color w:val="212121"/>
          <w:sz w:val="22"/>
          <w:szCs w:val="22"/>
        </w:rPr>
        <w:t xml:space="preserve">La première composante principale (PC1) explique la plus grande part de la variance et est fortement corrélée avec le montant de l'écriture, ce qui confirme que les montants anormaux sont le signal discriminant le plus puissant dans ce dataset.</w:t>
      </w:r>
    </w:p>
    <w:p>
      <w:pPr>
        <w:spacing w:before="100" w:after="0"/>
      </w:pPr>
      <w:r>
        <w:rPr>
          <w:sz w:val="22"/>
          <w:szCs w:val="22"/>
        </w:rPr>
        <w:t xml:space="preserve"/>
      </w:r>
    </w:p>
    <w:p>
      <w:pPr>
        <w:pStyle w:val="Heading1"/>
        <w:pBdr>
          <w:bottom w:val="single" w:color="1976D2" w:sz="8" w:space="4"/>
        </w:pBdr>
        <w:spacing w:before="320" w:after="160"/>
      </w:pPr>
      <w:r>
        <w:rPr>
          <w:rFonts w:ascii="Arial" w:cs="Arial" w:eastAsia="Arial" w:hAnsi="Arial"/>
          <w:b/>
          <w:bCs/>
          <w:color w:val="1565C0"/>
          <w:sz w:val="30"/>
          <w:szCs w:val="30"/>
        </w:rPr>
        <w:t xml:space="preserve">6. Interprétation Métier — Perspective Audit</w:t>
      </w:r>
    </w:p>
    <w:p>
      <w:pPr>
        <w:pStyle w:val="Heading2"/>
        <w:spacing w:before="240" w:after="120"/>
      </w:pPr>
      <w:r>
        <w:rPr>
          <w:rFonts w:ascii="Arial" w:cs="Arial" w:eastAsia="Arial" w:hAnsi="Arial"/>
          <w:b/>
          <w:bCs/>
          <w:color w:val="1976D2"/>
          <w:sz w:val="25"/>
          <w:szCs w:val="25"/>
        </w:rPr>
        <w:t xml:space="preserve">6.1 Typologies de fraudes identifiées</w:t>
      </w:r>
    </w:p>
    <w:p>
      <w:pPr>
        <w:spacing w:before="80" w:after="80"/>
        <w:jc w:val="left"/>
      </w:pPr>
      <w:r>
        <w:rPr>
          <w:rFonts w:ascii="Arial" w:cs="Arial" w:eastAsia="Arial" w:hAnsi="Arial"/>
          <w:b w:val="false"/>
          <w:bCs w:val="false"/>
          <w:i w:val="false"/>
          <w:iCs w:val="false"/>
          <w:color w:val="212121"/>
          <w:sz w:val="22"/>
          <w:szCs w:val="22"/>
        </w:rPr>
        <w:t xml:space="preserve">L'analyse croisée des écritures suspectes détectées révèle trois typologies principales correspondant aux patterns injectés dans le dataset :</w:t>
      </w:r>
    </w:p>
    <w:p>
      <w:pPr>
        <w:spacing w:before="80" w:after="0"/>
      </w:pPr>
      <w:r>
        <w:rPr>
          <w:sz w:val="22"/>
          <w:szCs w:val="22"/>
        </w:rPr>
        <w:t xml:space="preserve"/>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00"/>
        <w:gridCol w:w="2260"/>
      </w:tblGrid>
      <w:tr>
        <w:tc>
          <w:tcPr>
            <w:tcW w:type="dxa" w:w="1800"/>
            <w:tcBorders>
              <w:top w:val="single" w:color="D0D0D0" w:sz="4"/>
              <w:left w:val="single" w:color="D0D0D0" w:sz="4"/>
              <w:bottom w:val="single" w:color="D0D0D0" w:sz="4"/>
              <w:right w:val="single" w:color="D0D0D0" w:sz="4"/>
            </w:tcBorders>
            <w:shd w:fill="1565C0" w:val="clear"/>
            <w:tcMar>
              <w:top w:type="dxa" w:w="100"/>
              <w:left w:type="dxa" w:w="120"/>
              <w:bottom w:type="dxa" w:w="100"/>
              <w:right w:type="dxa" w:w="120"/>
            </w:tcMar>
          </w:tcPr>
          <w:p>
            <w:r>
              <w:rPr>
                <w:rFonts w:ascii="Arial" w:cs="Arial" w:eastAsia="Arial" w:hAnsi="Arial"/>
                <w:b/>
                <w:bCs/>
                <w:color w:val="FFFFFF"/>
                <w:sz w:val="21"/>
                <w:szCs w:val="21"/>
              </w:rPr>
              <w:t xml:space="preserve">Typologie</w:t>
            </w:r>
          </w:p>
        </w:tc>
        <w:tc>
          <w:tcPr>
            <w:tcW w:type="dxa" w:w="2500"/>
            <w:tcBorders>
              <w:top w:val="single" w:color="D0D0D0" w:sz="4"/>
              <w:left w:val="single" w:color="D0D0D0" w:sz="4"/>
              <w:bottom w:val="single" w:color="D0D0D0" w:sz="4"/>
              <w:right w:val="single" w:color="D0D0D0" w:sz="4"/>
            </w:tcBorders>
            <w:shd w:fill="1565C0" w:val="clear"/>
            <w:tcMar>
              <w:top w:type="dxa" w:w="100"/>
              <w:left w:type="dxa" w:w="120"/>
              <w:bottom w:type="dxa" w:w="100"/>
              <w:right w:type="dxa" w:w="120"/>
            </w:tcMar>
          </w:tcPr>
          <w:p>
            <w:r>
              <w:rPr>
                <w:rFonts w:ascii="Arial" w:cs="Arial" w:eastAsia="Arial" w:hAnsi="Arial"/>
                <w:b/>
                <w:bCs/>
                <w:color w:val="FFFFFF"/>
                <w:sz w:val="21"/>
                <w:szCs w:val="21"/>
              </w:rPr>
              <w:t xml:space="preserve">Caractéristiques</w:t>
            </w:r>
          </w:p>
        </w:tc>
        <w:tc>
          <w:tcPr>
            <w:tcW w:type="dxa" w:w="2500"/>
            <w:tcBorders>
              <w:top w:val="single" w:color="D0D0D0" w:sz="4"/>
              <w:left w:val="single" w:color="D0D0D0" w:sz="4"/>
              <w:bottom w:val="single" w:color="D0D0D0" w:sz="4"/>
              <w:right w:val="single" w:color="D0D0D0" w:sz="4"/>
            </w:tcBorders>
            <w:shd w:fill="1565C0" w:val="clear"/>
            <w:tcMar>
              <w:top w:type="dxa" w:w="100"/>
              <w:left w:type="dxa" w:w="120"/>
              <w:bottom w:type="dxa" w:w="100"/>
              <w:right w:type="dxa" w:w="120"/>
            </w:tcMar>
          </w:tcPr>
          <w:p>
            <w:r>
              <w:rPr>
                <w:rFonts w:ascii="Arial" w:cs="Arial" w:eastAsia="Arial" w:hAnsi="Arial"/>
                <w:b/>
                <w:bCs/>
                <w:color w:val="FFFFFF"/>
                <w:sz w:val="21"/>
                <w:szCs w:val="21"/>
              </w:rPr>
              <w:t xml:space="preserve">Signal de détection</w:t>
            </w:r>
          </w:p>
        </w:tc>
        <w:tc>
          <w:tcPr>
            <w:tcW w:type="dxa" w:w="2260"/>
            <w:tcBorders>
              <w:top w:val="single" w:color="D0D0D0" w:sz="4"/>
              <w:left w:val="single" w:color="D0D0D0" w:sz="4"/>
              <w:bottom w:val="single" w:color="D0D0D0" w:sz="4"/>
              <w:right w:val="single" w:color="D0D0D0" w:sz="4"/>
            </w:tcBorders>
            <w:shd w:fill="1565C0" w:val="clear"/>
            <w:tcMar>
              <w:top w:type="dxa" w:w="100"/>
              <w:left w:type="dxa" w:w="120"/>
              <w:bottom w:type="dxa" w:w="100"/>
              <w:right w:type="dxa" w:w="120"/>
            </w:tcMar>
          </w:tcPr>
          <w:p>
            <w:r>
              <w:rPr>
                <w:rFonts w:ascii="Arial" w:cs="Arial" w:eastAsia="Arial" w:hAnsi="Arial"/>
                <w:b/>
                <w:bCs/>
                <w:color w:val="FFFFFF"/>
                <w:sz w:val="21"/>
                <w:szCs w:val="21"/>
              </w:rPr>
              <w:t xml:space="preserve">Niveau de risque</w:t>
            </w:r>
          </w:p>
        </w:tc>
      </w:tr>
      <w:tr>
        <w:tc>
          <w:tcPr>
            <w:tcW w:type="dxa" w:w="1800"/>
            <w:tcBorders>
              <w:top w:val="single" w:color="D0D0D0" w:sz="4"/>
              <w:left w:val="single" w:color="D0D0D0" w:sz="4"/>
              <w:bottom w:val="single" w:color="D0D0D0" w:sz="4"/>
              <w:right w:val="single" w:color="D0D0D0" w:sz="4"/>
            </w:tcBorders>
            <w:shd w:fill="FFFFFF" w:val="clear"/>
            <w:tcMar>
              <w:top w:type="dxa" w:w="90"/>
              <w:left w:type="dxa" w:w="120"/>
              <w:bottom w:type="dxa" w:w="90"/>
              <w:right w:type="dxa" w:w="120"/>
            </w:tcMar>
          </w:tcPr>
          <w:p>
            <w:r>
              <w:rPr>
                <w:rFonts w:ascii="Arial" w:cs="Arial" w:eastAsia="Arial" w:hAnsi="Arial"/>
                <w:b w:val="false"/>
                <w:bCs w:val="false"/>
                <w:color w:val="212121"/>
                <w:sz w:val="20"/>
                <w:szCs w:val="20"/>
              </w:rPr>
              <w:t xml:space="preserve">Ajustement manuel tardif</w:t>
            </w:r>
          </w:p>
        </w:tc>
        <w:tc>
          <w:tcPr>
            <w:tcW w:type="dxa" w:w="2500"/>
            <w:tcBorders>
              <w:top w:val="single" w:color="D0D0D0" w:sz="4"/>
              <w:left w:val="single" w:color="D0D0D0" w:sz="4"/>
              <w:bottom w:val="single" w:color="D0D0D0" w:sz="4"/>
              <w:right w:val="single" w:color="D0D0D0" w:sz="4"/>
            </w:tcBorders>
            <w:shd w:fill="FFFFFF" w:val="clear"/>
            <w:tcMar>
              <w:top w:type="dxa" w:w="90"/>
              <w:left w:type="dxa" w:w="120"/>
              <w:bottom w:type="dxa" w:w="90"/>
              <w:right w:type="dxa" w:w="120"/>
            </w:tcMar>
          </w:tcPr>
          <w:p>
            <w:r>
              <w:rPr>
                <w:rFonts w:ascii="Arial" w:cs="Arial" w:eastAsia="Arial" w:hAnsi="Arial"/>
                <w:b w:val="false"/>
                <w:bCs w:val="false"/>
                <w:color w:val="212121"/>
                <w:sz w:val="20"/>
                <w:szCs w:val="20"/>
              </w:rPr>
              <w:t xml:space="preserve">Montant round élevé, auteur "Directeur_Fin", fin d'exercice 23h59</w:t>
            </w:r>
          </w:p>
        </w:tc>
        <w:tc>
          <w:tcPr>
            <w:tcW w:type="dxa" w:w="2500"/>
            <w:tcBorders>
              <w:top w:val="single" w:color="D0D0D0" w:sz="4"/>
              <w:left w:val="single" w:color="D0D0D0" w:sz="4"/>
              <w:bottom w:val="single" w:color="D0D0D0" w:sz="4"/>
              <w:right w:val="single" w:color="D0D0D0" w:sz="4"/>
            </w:tcBorders>
            <w:shd w:fill="FFFFFF" w:val="clear"/>
            <w:tcMar>
              <w:top w:type="dxa" w:w="90"/>
              <w:left w:type="dxa" w:w="120"/>
              <w:bottom w:type="dxa" w:w="90"/>
              <w:right w:type="dxa" w:w="120"/>
            </w:tcMar>
          </w:tcPr>
          <w:p>
            <w:r>
              <w:rPr>
                <w:rFonts w:ascii="Arial" w:cs="Arial" w:eastAsia="Arial" w:hAnsi="Arial"/>
                <w:b w:val="false"/>
                <w:bCs w:val="false"/>
                <w:color w:val="212121"/>
                <w:sz w:val="20"/>
                <w:szCs w:val="20"/>
              </w:rPr>
              <w:t xml:space="preserve">Montant &gt; seuil, heure hors bureau, description générique</w:t>
            </w:r>
          </w:p>
        </w:tc>
        <w:tc>
          <w:tcPr>
            <w:tcW w:type="dxa" w:w="2260"/>
            <w:tcBorders>
              <w:top w:val="single" w:color="D0D0D0" w:sz="4"/>
              <w:left w:val="single" w:color="D0D0D0" w:sz="4"/>
              <w:bottom w:val="single" w:color="D0D0D0" w:sz="4"/>
              <w:right w:val="single" w:color="D0D0D0" w:sz="4"/>
            </w:tcBorders>
            <w:shd w:fill="FFFFFF" w:val="clear"/>
            <w:tcMar>
              <w:top w:type="dxa" w:w="90"/>
              <w:left w:type="dxa" w:w="120"/>
              <w:bottom w:type="dxa" w:w="90"/>
              <w:right w:type="dxa" w:w="120"/>
            </w:tcMar>
          </w:tcPr>
          <w:p>
            <w:r>
              <w:rPr>
                <w:rFonts w:ascii="Arial" w:cs="Arial" w:eastAsia="Arial" w:hAnsi="Arial"/>
                <w:b/>
                <w:bCs/>
                <w:color w:val="C62828"/>
                <w:sz w:val="20"/>
                <w:szCs w:val="20"/>
              </w:rPr>
              <w:t xml:space="preserve">CRITIQUE</w:t>
            </w:r>
          </w:p>
        </w:tc>
      </w:tr>
      <w:tr>
        <w:tc>
          <w:tcPr>
            <w:tcW w:type="dxa" w:w="1800"/>
            <w:tcBorders>
              <w:top w:val="single" w:color="D0D0D0" w:sz="4"/>
              <w:left w:val="single" w:color="D0D0D0" w:sz="4"/>
              <w:bottom w:val="single" w:color="D0D0D0" w:sz="4"/>
              <w:right w:val="single" w:color="D0D0D0" w:sz="4"/>
            </w:tcBorders>
            <w:shd w:fill="F5F5F5" w:val="clear"/>
            <w:tcMar>
              <w:top w:type="dxa" w:w="90"/>
              <w:left w:type="dxa" w:w="120"/>
              <w:bottom w:type="dxa" w:w="90"/>
              <w:right w:type="dxa" w:w="120"/>
            </w:tcMar>
          </w:tcPr>
          <w:p>
            <w:r>
              <w:rPr>
                <w:rFonts w:ascii="Arial" w:cs="Arial" w:eastAsia="Arial" w:hAnsi="Arial"/>
                <w:b w:val="false"/>
                <w:bCs w:val="false"/>
                <w:color w:val="212121"/>
                <w:sz w:val="20"/>
                <w:szCs w:val="20"/>
              </w:rPr>
              <w:t xml:space="preserve">Opération week-end</w:t>
            </w:r>
          </w:p>
        </w:tc>
        <w:tc>
          <w:tcPr>
            <w:tcW w:type="dxa" w:w="2500"/>
            <w:tcBorders>
              <w:top w:val="single" w:color="D0D0D0" w:sz="4"/>
              <w:left w:val="single" w:color="D0D0D0" w:sz="4"/>
              <w:bottom w:val="single" w:color="D0D0D0" w:sz="4"/>
              <w:right w:val="single" w:color="D0D0D0" w:sz="4"/>
            </w:tcBorders>
            <w:shd w:fill="F5F5F5" w:val="clear"/>
            <w:tcMar>
              <w:top w:type="dxa" w:w="90"/>
              <w:left w:type="dxa" w:w="120"/>
              <w:bottom w:type="dxa" w:w="90"/>
              <w:right w:type="dxa" w:w="120"/>
            </w:tcMar>
          </w:tcPr>
          <w:p>
            <w:r>
              <w:rPr>
                <w:rFonts w:ascii="Arial" w:cs="Arial" w:eastAsia="Arial" w:hAnsi="Arial"/>
                <w:b w:val="false"/>
                <w:bCs w:val="false"/>
                <w:color w:val="212121"/>
                <w:sz w:val="20"/>
                <w:szCs w:val="20"/>
              </w:rPr>
              <w:t xml:space="preserve">Transaction passée dimanche 03h15, montant intermédiaire</w:t>
            </w:r>
          </w:p>
        </w:tc>
        <w:tc>
          <w:tcPr>
            <w:tcW w:type="dxa" w:w="2500"/>
            <w:tcBorders>
              <w:top w:val="single" w:color="D0D0D0" w:sz="4"/>
              <w:left w:val="single" w:color="D0D0D0" w:sz="4"/>
              <w:bottom w:val="single" w:color="D0D0D0" w:sz="4"/>
              <w:right w:val="single" w:color="D0D0D0" w:sz="4"/>
            </w:tcBorders>
            <w:shd w:fill="F5F5F5" w:val="clear"/>
            <w:tcMar>
              <w:top w:type="dxa" w:w="90"/>
              <w:left w:type="dxa" w:w="120"/>
              <w:bottom w:type="dxa" w:w="90"/>
              <w:right w:type="dxa" w:w="120"/>
            </w:tcMar>
          </w:tcPr>
          <w:p>
            <w:r>
              <w:rPr>
                <w:rFonts w:ascii="Arial" w:cs="Arial" w:eastAsia="Arial" w:hAnsi="Arial"/>
                <w:b w:val="false"/>
                <w:bCs w:val="false"/>
                <w:color w:val="212121"/>
                <w:sz w:val="20"/>
                <w:szCs w:val="20"/>
              </w:rPr>
              <w:t xml:space="preserve">Jour de semaine = 6, heure nocturne, compte inhabituel</w:t>
            </w:r>
          </w:p>
        </w:tc>
        <w:tc>
          <w:tcPr>
            <w:tcW w:type="dxa" w:w="2260"/>
            <w:tcBorders>
              <w:top w:val="single" w:color="D0D0D0" w:sz="4"/>
              <w:left w:val="single" w:color="D0D0D0" w:sz="4"/>
              <w:bottom w:val="single" w:color="D0D0D0" w:sz="4"/>
              <w:right w:val="single" w:color="D0D0D0" w:sz="4"/>
            </w:tcBorders>
            <w:shd w:fill="F5F5F5" w:val="clear"/>
            <w:tcMar>
              <w:top w:type="dxa" w:w="90"/>
              <w:left w:type="dxa" w:w="120"/>
              <w:bottom w:type="dxa" w:w="90"/>
              <w:right w:type="dxa" w:w="120"/>
            </w:tcMar>
          </w:tcPr>
          <w:p>
            <w:r>
              <w:rPr>
                <w:rFonts w:ascii="Arial" w:cs="Arial" w:eastAsia="Arial" w:hAnsi="Arial"/>
                <w:b/>
                <w:bCs/>
                <w:color w:val="E65100"/>
                <w:sz w:val="20"/>
                <w:szCs w:val="20"/>
              </w:rPr>
              <w:t xml:space="preserve">ÉLEVÉ</w:t>
            </w:r>
          </w:p>
        </w:tc>
      </w:tr>
      <w:tr>
        <w:tc>
          <w:tcPr>
            <w:tcW w:type="dxa" w:w="1800"/>
            <w:tcBorders>
              <w:top w:val="single" w:color="D0D0D0" w:sz="4"/>
              <w:left w:val="single" w:color="D0D0D0" w:sz="4"/>
              <w:bottom w:val="single" w:color="D0D0D0" w:sz="4"/>
              <w:right w:val="single" w:color="D0D0D0" w:sz="4"/>
            </w:tcBorders>
            <w:shd w:fill="FFFFFF" w:val="clear"/>
            <w:tcMar>
              <w:top w:type="dxa" w:w="90"/>
              <w:left w:type="dxa" w:w="120"/>
              <w:bottom w:type="dxa" w:w="90"/>
              <w:right w:type="dxa" w:w="120"/>
            </w:tcMar>
          </w:tcPr>
          <w:p>
            <w:r>
              <w:rPr>
                <w:rFonts w:ascii="Arial" w:cs="Arial" w:eastAsia="Arial" w:hAnsi="Arial"/>
                <w:b w:val="false"/>
                <w:bCs w:val="false"/>
                <w:color w:val="212121"/>
                <w:sz w:val="20"/>
                <w:szCs w:val="20"/>
              </w:rPr>
              <w:t xml:space="preserve">Fractionnement (Smurfing)</w:t>
            </w:r>
          </w:p>
        </w:tc>
        <w:tc>
          <w:tcPr>
            <w:tcW w:type="dxa" w:w="2500"/>
            <w:tcBorders>
              <w:top w:val="single" w:color="D0D0D0" w:sz="4"/>
              <w:left w:val="single" w:color="D0D0D0" w:sz="4"/>
              <w:bottom w:val="single" w:color="D0D0D0" w:sz="4"/>
              <w:right w:val="single" w:color="D0D0D0" w:sz="4"/>
            </w:tcBorders>
            <w:shd w:fill="FFFFFF" w:val="clear"/>
            <w:tcMar>
              <w:top w:type="dxa" w:w="90"/>
              <w:left w:type="dxa" w:w="120"/>
              <w:bottom w:type="dxa" w:w="90"/>
              <w:right w:type="dxa" w:w="120"/>
            </w:tcMar>
          </w:tcPr>
          <w:p>
            <w:r>
              <w:rPr>
                <w:rFonts w:ascii="Arial" w:cs="Arial" w:eastAsia="Arial" w:hAnsi="Arial"/>
                <w:b w:val="false"/>
                <w:bCs w:val="false"/>
                <w:color w:val="212121"/>
                <w:sz w:val="20"/>
                <w:szCs w:val="20"/>
              </w:rPr>
              <w:t xml:space="preserve">Montants 9 900–9 999 MAD, compte 6111, même auteur répété</w:t>
            </w:r>
          </w:p>
        </w:tc>
        <w:tc>
          <w:tcPr>
            <w:tcW w:type="dxa" w:w="2500"/>
            <w:tcBorders>
              <w:top w:val="single" w:color="D0D0D0" w:sz="4"/>
              <w:left w:val="single" w:color="D0D0D0" w:sz="4"/>
              <w:bottom w:val="single" w:color="D0D0D0" w:sz="4"/>
              <w:right w:val="single" w:color="D0D0D0" w:sz="4"/>
            </w:tcBorders>
            <w:shd w:fill="FFFFFF" w:val="clear"/>
            <w:tcMar>
              <w:top w:type="dxa" w:w="90"/>
              <w:left w:type="dxa" w:w="120"/>
              <w:bottom w:type="dxa" w:w="90"/>
              <w:right w:type="dxa" w:w="120"/>
            </w:tcMar>
          </w:tcPr>
          <w:p>
            <w:r>
              <w:rPr>
                <w:rFonts w:ascii="Arial" w:cs="Arial" w:eastAsia="Arial" w:hAnsi="Arial"/>
                <w:b w:val="false"/>
                <w:bCs w:val="false"/>
                <w:color w:val="212121"/>
                <w:sz w:val="20"/>
                <w:szCs w:val="20"/>
              </w:rPr>
              <w:t xml:space="preserve">Déviation Benford chiffre 9, montants clustérisés sous seuil</w:t>
            </w:r>
          </w:p>
        </w:tc>
        <w:tc>
          <w:tcPr>
            <w:tcW w:type="dxa" w:w="2260"/>
            <w:tcBorders>
              <w:top w:val="single" w:color="D0D0D0" w:sz="4"/>
              <w:left w:val="single" w:color="D0D0D0" w:sz="4"/>
              <w:bottom w:val="single" w:color="D0D0D0" w:sz="4"/>
              <w:right w:val="single" w:color="D0D0D0" w:sz="4"/>
            </w:tcBorders>
            <w:shd w:fill="FFFFFF" w:val="clear"/>
            <w:tcMar>
              <w:top w:type="dxa" w:w="90"/>
              <w:left w:type="dxa" w:w="120"/>
              <w:bottom w:type="dxa" w:w="90"/>
              <w:right w:type="dxa" w:w="120"/>
            </w:tcMar>
          </w:tcPr>
          <w:p>
            <w:r>
              <w:rPr>
                <w:rFonts w:ascii="Arial" w:cs="Arial" w:eastAsia="Arial" w:hAnsi="Arial"/>
                <w:b/>
                <w:bCs/>
                <w:color w:val="E65100"/>
                <w:sz w:val="20"/>
                <w:szCs w:val="20"/>
              </w:rPr>
              <w:t xml:space="preserve">ÉLEVÉ</w:t>
            </w:r>
          </w:p>
        </w:tc>
      </w:tr>
    </w:tbl>
    <w:p>
      <w:pPr>
        <w:spacing w:before="60" w:after="160"/>
        <w:jc w:val="center"/>
      </w:pPr>
      <w:r>
        <w:rPr>
          <w:rFonts w:ascii="Arial" w:cs="Arial" w:eastAsia="Arial" w:hAnsi="Arial"/>
          <w:i/>
          <w:iCs/>
          <w:color w:val="757575"/>
          <w:sz w:val="18"/>
          <w:szCs w:val="18"/>
        </w:rPr>
        <w:t xml:space="preserve">Tableau 4 — Typologies des anomalies détectées et niveaux de risque associés</w:t>
      </w:r>
    </w:p>
    <w:p>
      <w:pPr>
        <w:pStyle w:val="Heading2"/>
        <w:spacing w:before="240" w:after="120"/>
      </w:pPr>
      <w:r>
        <w:rPr>
          <w:rFonts w:ascii="Arial" w:cs="Arial" w:eastAsia="Arial" w:hAnsi="Arial"/>
          <w:b/>
          <w:bCs/>
          <w:color w:val="1976D2"/>
          <w:sz w:val="25"/>
          <w:szCs w:val="25"/>
        </w:rPr>
        <w:t xml:space="preserve">6.2 Risques identifiés</w:t>
      </w:r>
    </w:p>
    <w:p>
      <w:pPr>
        <w:pStyle w:val="Heading3"/>
        <w:spacing w:before="180" w:after="80"/>
      </w:pPr>
      <w:r>
        <w:rPr>
          <w:rFonts w:ascii="Arial" w:cs="Arial" w:eastAsia="Arial" w:hAnsi="Arial"/>
          <w:b/>
          <w:bCs/>
          <w:color w:val="E65100"/>
          <w:sz w:val="22"/>
          <w:szCs w:val="22"/>
        </w:rPr>
        <w:t xml:space="preserve">Risque de fraude</w:t>
      </w:r>
    </w:p>
    <w:p>
      <w:pPr>
        <w:pStyle w:val="ListParagraph"/>
        <w:numPr>
          <w:ilvl w:val="0"/>
          <w:numId w:val="2"/>
        </w:numPr>
        <w:spacing w:before="60" w:after="60"/>
      </w:pPr>
      <w:r>
        <w:rPr>
          <w:rFonts w:ascii="Arial" w:cs="Arial" w:eastAsia="Arial" w:hAnsi="Arial"/>
          <w:color w:val="212121"/>
          <w:sz w:val="22"/>
          <w:szCs w:val="22"/>
        </w:rPr>
        <w:t xml:space="preserve">Contournement des contrôles internes via des enregistrements tardifs (fin d'exercice, nuit)</w:t>
      </w:r>
    </w:p>
    <w:p>
      <w:pPr>
        <w:pStyle w:val="ListParagraph"/>
        <w:numPr>
          <w:ilvl w:val="0"/>
          <w:numId w:val="2"/>
        </w:numPr>
        <w:spacing w:before="60" w:after="60"/>
      </w:pPr>
      <w:r>
        <w:rPr>
          <w:rFonts w:ascii="Arial" w:cs="Arial" w:eastAsia="Arial" w:hAnsi="Arial"/>
          <w:color w:val="212121"/>
          <w:sz w:val="22"/>
          <w:szCs w:val="22"/>
        </w:rPr>
        <w:t xml:space="preserve">Fractionnement intentionnel sous le seuil de validation managériale (anti-smurfing)</w:t>
      </w:r>
    </w:p>
    <w:p>
      <w:pPr>
        <w:pStyle w:val="ListParagraph"/>
        <w:numPr>
          <w:ilvl w:val="0"/>
          <w:numId w:val="2"/>
        </w:numPr>
        <w:spacing w:before="60" w:after="60"/>
      </w:pPr>
      <w:r>
        <w:rPr>
          <w:rFonts w:ascii="Arial" w:cs="Arial" w:eastAsia="Arial" w:hAnsi="Arial"/>
          <w:color w:val="212121"/>
          <w:sz w:val="22"/>
          <w:szCs w:val="22"/>
        </w:rPr>
        <w:t xml:space="preserve">Utilisation de comptes de charges génériques ("Frais divers") pour masquer la nature réelle des transactions</w:t>
      </w:r>
    </w:p>
    <w:p>
      <w:pPr>
        <w:spacing w:before="80" w:after="0"/>
      </w:pPr>
      <w:r>
        <w:rPr>
          <w:sz w:val="22"/>
          <w:szCs w:val="22"/>
        </w:rPr>
        <w:t xml:space="preserve"/>
      </w:r>
    </w:p>
    <w:p>
      <w:pPr>
        <w:pStyle w:val="Heading3"/>
        <w:spacing w:before="180" w:after="80"/>
      </w:pPr>
      <w:r>
        <w:rPr>
          <w:rFonts w:ascii="Arial" w:cs="Arial" w:eastAsia="Arial" w:hAnsi="Arial"/>
          <w:b/>
          <w:bCs/>
          <w:color w:val="E65100"/>
          <w:sz w:val="22"/>
          <w:szCs w:val="22"/>
        </w:rPr>
        <w:t xml:space="preserve">Risque d'erreurs comptables</w:t>
      </w:r>
    </w:p>
    <w:p>
      <w:pPr>
        <w:pStyle w:val="ListParagraph"/>
        <w:numPr>
          <w:ilvl w:val="0"/>
          <w:numId w:val="2"/>
        </w:numPr>
        <w:spacing w:before="60" w:after="60"/>
      </w:pPr>
      <w:r>
        <w:rPr>
          <w:rFonts w:ascii="Arial" w:cs="Arial" w:eastAsia="Arial" w:hAnsi="Arial"/>
          <w:color w:val="212121"/>
          <w:sz w:val="22"/>
          <w:szCs w:val="22"/>
        </w:rPr>
        <w:t xml:space="preserve">Doublons d'écritures passées par plusieurs utilisateurs sur les mêmes montants</w:t>
      </w:r>
    </w:p>
    <w:p>
      <w:pPr>
        <w:pStyle w:val="ListParagraph"/>
        <w:numPr>
          <w:ilvl w:val="0"/>
          <w:numId w:val="2"/>
        </w:numPr>
        <w:spacing w:before="60" w:after="60"/>
      </w:pPr>
      <w:r>
        <w:rPr>
          <w:rFonts w:ascii="Arial" w:cs="Arial" w:eastAsia="Arial" w:hAnsi="Arial"/>
          <w:color w:val="212121"/>
          <w:sz w:val="22"/>
          <w:szCs w:val="22"/>
        </w:rPr>
        <w:t xml:space="preserve">Saisies en dehors des processus normaux (hors heures, hors workflow habituel)</w:t>
      </w:r>
    </w:p>
    <w:p>
      <w:pPr>
        <w:pStyle w:val="ListParagraph"/>
        <w:numPr>
          <w:ilvl w:val="0"/>
          <w:numId w:val="2"/>
        </w:numPr>
        <w:spacing w:before="60" w:after="60"/>
      </w:pPr>
      <w:r>
        <w:rPr>
          <w:rFonts w:ascii="Arial" w:cs="Arial" w:eastAsia="Arial" w:hAnsi="Arial"/>
          <w:color w:val="212121"/>
          <w:sz w:val="22"/>
          <w:szCs w:val="22"/>
        </w:rPr>
        <w:t xml:space="preserve">Anomalies de paramétrage générant des arrondis systématiques sur certains comptes</w:t>
      </w:r>
    </w:p>
    <w:p>
      <w:pPr>
        <w:spacing w:before="100" w:after="0"/>
      </w:pPr>
      <w:r>
        <w:rPr>
          <w:sz w:val="22"/>
          <w:szCs w:val="22"/>
        </w:rPr>
        <w:t xml:space="preserve"/>
      </w:r>
    </w:p>
    <w:p>
      <w:r>
        <w:br w:type="page"/>
      </w:r>
    </w:p>
    <w:p>
      <w:pPr>
        <w:pStyle w:val="Heading1"/>
        <w:pBdr>
          <w:bottom w:val="single" w:color="1976D2" w:sz="8" w:space="4"/>
        </w:pBdr>
        <w:spacing w:before="320" w:after="160"/>
      </w:pPr>
      <w:r>
        <w:rPr>
          <w:rFonts w:ascii="Arial" w:cs="Arial" w:eastAsia="Arial" w:hAnsi="Arial"/>
          <w:b/>
          <w:bCs/>
          <w:color w:val="1565C0"/>
          <w:sz w:val="30"/>
          <w:szCs w:val="30"/>
        </w:rPr>
        <w:t xml:space="preserve">7. Validation et Limites des Modèles</w:t>
      </w:r>
    </w:p>
    <w:p>
      <w:pPr>
        <w:pStyle w:val="Heading2"/>
        <w:spacing w:before="240" w:after="120"/>
      </w:pPr>
      <w:r>
        <w:rPr>
          <w:rFonts w:ascii="Arial" w:cs="Arial" w:eastAsia="Arial" w:hAnsi="Arial"/>
          <w:b/>
          <w:bCs/>
          <w:color w:val="1976D2"/>
          <w:sz w:val="25"/>
          <w:szCs w:val="25"/>
        </w:rPr>
        <w:t xml:space="preserve">7.1 Analyse des métriques</w:t>
      </w:r>
    </w:p>
    <w:p>
      <w:pPr>
        <w:spacing w:before="80" w:after="80"/>
        <w:jc w:val="left"/>
      </w:pPr>
      <w:r>
        <w:rPr>
          <w:rFonts w:ascii="Arial" w:cs="Arial" w:eastAsia="Arial" w:hAnsi="Arial"/>
          <w:b w:val="false"/>
          <w:bCs w:val="false"/>
          <w:i w:val="false"/>
          <w:iCs w:val="false"/>
          <w:color w:val="212121"/>
          <w:sz w:val="22"/>
          <w:szCs w:val="22"/>
        </w:rPr>
        <w:t xml:space="preserve">Les métriques calculées permettent une évaluation objective des performances de chaque modèle sur les données de test :</w:t>
      </w:r>
    </w:p>
    <w:p>
      <w:pPr>
        <w:spacing w:before="80" w:after="0"/>
      </w:pPr>
      <w:r>
        <w:rPr>
          <w:sz w:val="22"/>
          <w:szCs w:val="22"/>
        </w:rPr>
        <w:t xml:space="preserve"/>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3060"/>
        <w:gridCol w:w="3000"/>
        <w:gridCol w:w="3000"/>
      </w:tblGrid>
      <w:tr>
        <w:tc>
          <w:tcPr>
            <w:tcW w:type="dxa" w:w="3060"/>
            <w:tcBorders>
              <w:top w:val="single" w:color="D0D0D0" w:sz="4"/>
              <w:left w:val="single" w:color="D0D0D0" w:sz="4"/>
              <w:bottom w:val="single" w:color="D0D0D0" w:sz="4"/>
              <w:right w:val="single" w:color="D0D0D0" w:sz="4"/>
            </w:tcBorders>
            <w:shd w:fill="1565C0" w:val="clear"/>
            <w:tcMar>
              <w:top w:type="dxa" w:w="100"/>
              <w:left w:type="dxa" w:w="120"/>
              <w:bottom w:type="dxa" w:w="100"/>
              <w:right w:type="dxa" w:w="120"/>
            </w:tcMar>
          </w:tcPr>
          <w:p>
            <w:r>
              <w:rPr>
                <w:rFonts w:ascii="Arial" w:cs="Arial" w:eastAsia="Arial" w:hAnsi="Arial"/>
                <w:b/>
                <w:bCs/>
                <w:color w:val="FFFFFF"/>
                <w:sz w:val="21"/>
                <w:szCs w:val="21"/>
              </w:rPr>
              <w:t xml:space="preserve">Métrique</w:t>
            </w:r>
          </w:p>
        </w:tc>
        <w:tc>
          <w:tcPr>
            <w:tcW w:type="dxa" w:w="3000"/>
            <w:tcBorders>
              <w:top w:val="single" w:color="D0D0D0" w:sz="4"/>
              <w:left w:val="single" w:color="D0D0D0" w:sz="4"/>
              <w:bottom w:val="single" w:color="D0D0D0" w:sz="4"/>
              <w:right w:val="single" w:color="D0D0D0" w:sz="4"/>
            </w:tcBorders>
            <w:shd w:fill="1565C0" w:val="clear"/>
            <w:tcMar>
              <w:top w:type="dxa" w:w="100"/>
              <w:left w:type="dxa" w:w="120"/>
              <w:bottom w:type="dxa" w:w="100"/>
              <w:right w:type="dxa" w:w="120"/>
            </w:tcMar>
          </w:tcPr>
          <w:p>
            <w:r>
              <w:rPr>
                <w:rFonts w:ascii="Arial" w:cs="Arial" w:eastAsia="Arial" w:hAnsi="Arial"/>
                <w:b/>
                <w:bCs/>
                <w:color w:val="FFFFFF"/>
                <w:sz w:val="21"/>
                <w:szCs w:val="21"/>
              </w:rPr>
              <w:t xml:space="preserve">Définition</w:t>
            </w:r>
          </w:p>
        </w:tc>
        <w:tc>
          <w:tcPr>
            <w:tcW w:type="dxa" w:w="3000"/>
            <w:tcBorders>
              <w:top w:val="single" w:color="D0D0D0" w:sz="4"/>
              <w:left w:val="single" w:color="D0D0D0" w:sz="4"/>
              <w:bottom w:val="single" w:color="D0D0D0" w:sz="4"/>
              <w:right w:val="single" w:color="D0D0D0" w:sz="4"/>
            </w:tcBorders>
            <w:shd w:fill="1565C0" w:val="clear"/>
            <w:tcMar>
              <w:top w:type="dxa" w:w="100"/>
              <w:left w:type="dxa" w:w="120"/>
              <w:bottom w:type="dxa" w:w="100"/>
              <w:right w:type="dxa" w:w="120"/>
            </w:tcMar>
          </w:tcPr>
          <w:p>
            <w:r>
              <w:rPr>
                <w:rFonts w:ascii="Arial" w:cs="Arial" w:eastAsia="Arial" w:hAnsi="Arial"/>
                <w:b/>
                <w:bCs/>
                <w:color w:val="FFFFFF"/>
                <w:sz w:val="21"/>
                <w:szCs w:val="21"/>
              </w:rPr>
              <w:t xml:space="preserve">Signification Audit</w:t>
            </w:r>
          </w:p>
        </w:tc>
      </w:tr>
      <w:tr>
        <w:tc>
          <w:tcPr>
            <w:tcW w:type="dxa" w:w="3060"/>
            <w:tcBorders>
              <w:top w:val="single" w:color="D0D0D0" w:sz="4"/>
              <w:left w:val="single" w:color="D0D0D0" w:sz="4"/>
              <w:bottom w:val="single" w:color="D0D0D0" w:sz="4"/>
              <w:right w:val="single" w:color="D0D0D0" w:sz="4"/>
            </w:tcBorders>
            <w:shd w:fill="FFFFFF" w:val="clear"/>
            <w:tcMar>
              <w:top w:type="dxa" w:w="90"/>
              <w:left w:type="dxa" w:w="120"/>
              <w:bottom w:type="dxa" w:w="90"/>
              <w:right w:type="dxa" w:w="120"/>
            </w:tcMar>
          </w:tcPr>
          <w:p>
            <w:r>
              <w:rPr>
                <w:rFonts w:ascii="Arial" w:cs="Arial" w:eastAsia="Arial" w:hAnsi="Arial"/>
                <w:color w:val="212121"/>
                <w:sz w:val="20"/>
                <w:szCs w:val="20"/>
              </w:rPr>
              <w:t xml:space="preserve">Précision</w:t>
            </w:r>
          </w:p>
        </w:tc>
        <w:tc>
          <w:tcPr>
            <w:tcW w:type="dxa" w:w="3000"/>
            <w:tcBorders>
              <w:top w:val="single" w:color="D0D0D0" w:sz="4"/>
              <w:left w:val="single" w:color="D0D0D0" w:sz="4"/>
              <w:bottom w:val="single" w:color="D0D0D0" w:sz="4"/>
              <w:right w:val="single" w:color="D0D0D0" w:sz="4"/>
            </w:tcBorders>
            <w:shd w:fill="FFFFFF" w:val="clear"/>
            <w:tcMar>
              <w:top w:type="dxa" w:w="90"/>
              <w:left w:type="dxa" w:w="120"/>
              <w:bottom w:type="dxa" w:w="90"/>
              <w:right w:type="dxa" w:w="120"/>
            </w:tcMar>
          </w:tcPr>
          <w:p>
            <w:r>
              <w:rPr>
                <w:rFonts w:ascii="Arial" w:cs="Arial" w:eastAsia="Arial" w:hAnsi="Arial"/>
                <w:color w:val="212121"/>
                <w:sz w:val="20"/>
                <w:szCs w:val="20"/>
              </w:rPr>
              <w:t xml:space="preserve">VP / (VP + FP)</w:t>
            </w:r>
          </w:p>
        </w:tc>
        <w:tc>
          <w:tcPr>
            <w:tcW w:type="dxa" w:w="3000"/>
            <w:tcBorders>
              <w:top w:val="single" w:color="D0D0D0" w:sz="4"/>
              <w:left w:val="single" w:color="D0D0D0" w:sz="4"/>
              <w:bottom w:val="single" w:color="D0D0D0" w:sz="4"/>
              <w:right w:val="single" w:color="D0D0D0" w:sz="4"/>
            </w:tcBorders>
            <w:shd w:fill="FFFFFF" w:val="clear"/>
            <w:tcMar>
              <w:top w:type="dxa" w:w="90"/>
              <w:left w:type="dxa" w:w="120"/>
              <w:bottom w:type="dxa" w:w="90"/>
              <w:right w:type="dxa" w:w="120"/>
            </w:tcMar>
          </w:tcPr>
          <w:p>
            <w:r>
              <w:rPr>
                <w:rFonts w:ascii="Arial" w:cs="Arial" w:eastAsia="Arial" w:hAnsi="Arial"/>
                <w:color w:val="212121"/>
                <w:sz w:val="20"/>
                <w:szCs w:val="20"/>
              </w:rPr>
              <w:t xml:space="preserve">Proportion des alertes réellement frauduleuses — mesure la qualité des alertes</w:t>
            </w:r>
          </w:p>
        </w:tc>
      </w:tr>
      <w:tr>
        <w:tc>
          <w:tcPr>
            <w:tcW w:type="dxa" w:w="3060"/>
            <w:tcBorders>
              <w:top w:val="single" w:color="D0D0D0" w:sz="4"/>
              <w:left w:val="single" w:color="D0D0D0" w:sz="4"/>
              <w:bottom w:val="single" w:color="D0D0D0" w:sz="4"/>
              <w:right w:val="single" w:color="D0D0D0" w:sz="4"/>
            </w:tcBorders>
            <w:shd w:fill="F5F5F5" w:val="clear"/>
            <w:tcMar>
              <w:top w:type="dxa" w:w="90"/>
              <w:left w:type="dxa" w:w="120"/>
              <w:bottom w:type="dxa" w:w="90"/>
              <w:right w:type="dxa" w:w="120"/>
            </w:tcMar>
          </w:tcPr>
          <w:p>
            <w:r>
              <w:rPr>
                <w:rFonts w:ascii="Arial" w:cs="Arial" w:eastAsia="Arial" w:hAnsi="Arial"/>
                <w:color w:val="212121"/>
                <w:sz w:val="20"/>
                <w:szCs w:val="20"/>
              </w:rPr>
              <w:t xml:space="preserve">Rappel (Recall)</w:t>
            </w:r>
          </w:p>
        </w:tc>
        <w:tc>
          <w:tcPr>
            <w:tcW w:type="dxa" w:w="3000"/>
            <w:tcBorders>
              <w:top w:val="single" w:color="D0D0D0" w:sz="4"/>
              <w:left w:val="single" w:color="D0D0D0" w:sz="4"/>
              <w:bottom w:val="single" w:color="D0D0D0" w:sz="4"/>
              <w:right w:val="single" w:color="D0D0D0" w:sz="4"/>
            </w:tcBorders>
            <w:shd w:fill="F5F5F5" w:val="clear"/>
            <w:tcMar>
              <w:top w:type="dxa" w:w="90"/>
              <w:left w:type="dxa" w:w="120"/>
              <w:bottom w:type="dxa" w:w="90"/>
              <w:right w:type="dxa" w:w="120"/>
            </w:tcMar>
          </w:tcPr>
          <w:p>
            <w:r>
              <w:rPr>
                <w:rFonts w:ascii="Arial" w:cs="Arial" w:eastAsia="Arial" w:hAnsi="Arial"/>
                <w:color w:val="212121"/>
                <w:sz w:val="20"/>
                <w:szCs w:val="20"/>
              </w:rPr>
              <w:t xml:space="preserve">VP / (VP + FN)</w:t>
            </w:r>
          </w:p>
        </w:tc>
        <w:tc>
          <w:tcPr>
            <w:tcW w:type="dxa" w:w="3000"/>
            <w:tcBorders>
              <w:top w:val="single" w:color="D0D0D0" w:sz="4"/>
              <w:left w:val="single" w:color="D0D0D0" w:sz="4"/>
              <w:bottom w:val="single" w:color="D0D0D0" w:sz="4"/>
              <w:right w:val="single" w:color="D0D0D0" w:sz="4"/>
            </w:tcBorders>
            <w:shd w:fill="F5F5F5" w:val="clear"/>
            <w:tcMar>
              <w:top w:type="dxa" w:w="90"/>
              <w:left w:type="dxa" w:w="120"/>
              <w:bottom w:type="dxa" w:w="90"/>
              <w:right w:type="dxa" w:w="120"/>
            </w:tcMar>
          </w:tcPr>
          <w:p>
            <w:r>
              <w:rPr>
                <w:rFonts w:ascii="Arial" w:cs="Arial" w:eastAsia="Arial" w:hAnsi="Arial"/>
                <w:color w:val="212121"/>
                <w:sz w:val="20"/>
                <w:szCs w:val="20"/>
              </w:rPr>
              <w:t xml:space="preserve">Proportion des fraudes effectivement détectées — mesure la couverture</w:t>
            </w:r>
          </w:p>
        </w:tc>
      </w:tr>
      <w:tr>
        <w:tc>
          <w:tcPr>
            <w:tcW w:type="dxa" w:w="3060"/>
            <w:tcBorders>
              <w:top w:val="single" w:color="D0D0D0" w:sz="4"/>
              <w:left w:val="single" w:color="D0D0D0" w:sz="4"/>
              <w:bottom w:val="single" w:color="D0D0D0" w:sz="4"/>
              <w:right w:val="single" w:color="D0D0D0" w:sz="4"/>
            </w:tcBorders>
            <w:shd w:fill="FFFFFF" w:val="clear"/>
            <w:tcMar>
              <w:top w:type="dxa" w:w="90"/>
              <w:left w:type="dxa" w:w="120"/>
              <w:bottom w:type="dxa" w:w="90"/>
              <w:right w:type="dxa" w:w="120"/>
            </w:tcMar>
          </w:tcPr>
          <w:p>
            <w:r>
              <w:rPr>
                <w:rFonts w:ascii="Arial" w:cs="Arial" w:eastAsia="Arial" w:hAnsi="Arial"/>
                <w:color w:val="212121"/>
                <w:sz w:val="20"/>
                <w:szCs w:val="20"/>
              </w:rPr>
              <w:t xml:space="preserve">F1-Score</w:t>
            </w:r>
          </w:p>
        </w:tc>
        <w:tc>
          <w:tcPr>
            <w:tcW w:type="dxa" w:w="3000"/>
            <w:tcBorders>
              <w:top w:val="single" w:color="D0D0D0" w:sz="4"/>
              <w:left w:val="single" w:color="D0D0D0" w:sz="4"/>
              <w:bottom w:val="single" w:color="D0D0D0" w:sz="4"/>
              <w:right w:val="single" w:color="D0D0D0" w:sz="4"/>
            </w:tcBorders>
            <w:shd w:fill="FFFFFF" w:val="clear"/>
            <w:tcMar>
              <w:top w:type="dxa" w:w="90"/>
              <w:left w:type="dxa" w:w="120"/>
              <w:bottom w:type="dxa" w:w="90"/>
              <w:right w:type="dxa" w:w="120"/>
            </w:tcMar>
          </w:tcPr>
          <w:p>
            <w:r>
              <w:rPr>
                <w:rFonts w:ascii="Arial" w:cs="Arial" w:eastAsia="Arial" w:hAnsi="Arial"/>
                <w:color w:val="212121"/>
                <w:sz w:val="20"/>
                <w:szCs w:val="20"/>
              </w:rPr>
              <w:t xml:space="preserve">2 × (P × R) / (P + R)</w:t>
            </w:r>
          </w:p>
        </w:tc>
        <w:tc>
          <w:tcPr>
            <w:tcW w:type="dxa" w:w="3000"/>
            <w:tcBorders>
              <w:top w:val="single" w:color="D0D0D0" w:sz="4"/>
              <w:left w:val="single" w:color="D0D0D0" w:sz="4"/>
              <w:bottom w:val="single" w:color="D0D0D0" w:sz="4"/>
              <w:right w:val="single" w:color="D0D0D0" w:sz="4"/>
            </w:tcBorders>
            <w:shd w:fill="FFFFFF" w:val="clear"/>
            <w:tcMar>
              <w:top w:type="dxa" w:w="90"/>
              <w:left w:type="dxa" w:w="120"/>
              <w:bottom w:type="dxa" w:w="90"/>
              <w:right w:type="dxa" w:w="120"/>
            </w:tcMar>
          </w:tcPr>
          <w:p>
            <w:r>
              <w:rPr>
                <w:rFonts w:ascii="Arial" w:cs="Arial" w:eastAsia="Arial" w:hAnsi="Arial"/>
                <w:color w:val="212121"/>
                <w:sz w:val="20"/>
                <w:szCs w:val="20"/>
              </w:rPr>
              <w:t xml:space="preserve">Moyenne harmonique — indicateur global équilibré</w:t>
            </w:r>
          </w:p>
        </w:tc>
      </w:tr>
      <w:tr>
        <w:tc>
          <w:tcPr>
            <w:tcW w:type="dxa" w:w="3060"/>
            <w:tcBorders>
              <w:top w:val="single" w:color="D0D0D0" w:sz="4"/>
              <w:left w:val="single" w:color="D0D0D0" w:sz="4"/>
              <w:bottom w:val="single" w:color="D0D0D0" w:sz="4"/>
              <w:right w:val="single" w:color="D0D0D0" w:sz="4"/>
            </w:tcBorders>
            <w:shd w:fill="F5F5F5" w:val="clear"/>
            <w:tcMar>
              <w:top w:type="dxa" w:w="90"/>
              <w:left w:type="dxa" w:w="120"/>
              <w:bottom w:type="dxa" w:w="90"/>
              <w:right w:type="dxa" w:w="120"/>
            </w:tcMar>
          </w:tcPr>
          <w:p>
            <w:r>
              <w:rPr>
                <w:rFonts w:ascii="Arial" w:cs="Arial" w:eastAsia="Arial" w:hAnsi="Arial"/>
                <w:color w:val="212121"/>
                <w:sz w:val="20"/>
                <w:szCs w:val="20"/>
              </w:rPr>
              <w:t xml:space="preserve">Accuracy</w:t>
            </w:r>
          </w:p>
        </w:tc>
        <w:tc>
          <w:tcPr>
            <w:tcW w:type="dxa" w:w="3000"/>
            <w:tcBorders>
              <w:top w:val="single" w:color="D0D0D0" w:sz="4"/>
              <w:left w:val="single" w:color="D0D0D0" w:sz="4"/>
              <w:bottom w:val="single" w:color="D0D0D0" w:sz="4"/>
              <w:right w:val="single" w:color="D0D0D0" w:sz="4"/>
            </w:tcBorders>
            <w:shd w:fill="F5F5F5" w:val="clear"/>
            <w:tcMar>
              <w:top w:type="dxa" w:w="90"/>
              <w:left w:type="dxa" w:w="120"/>
              <w:bottom w:type="dxa" w:w="90"/>
              <w:right w:type="dxa" w:w="120"/>
            </w:tcMar>
          </w:tcPr>
          <w:p>
            <w:r>
              <w:rPr>
                <w:rFonts w:ascii="Arial" w:cs="Arial" w:eastAsia="Arial" w:hAnsi="Arial"/>
                <w:color w:val="212121"/>
                <w:sz w:val="20"/>
                <w:szCs w:val="20"/>
              </w:rPr>
              <w:t xml:space="preserve">(VP + VN) / Total</w:t>
            </w:r>
          </w:p>
        </w:tc>
        <w:tc>
          <w:tcPr>
            <w:tcW w:type="dxa" w:w="3000"/>
            <w:tcBorders>
              <w:top w:val="single" w:color="D0D0D0" w:sz="4"/>
              <w:left w:val="single" w:color="D0D0D0" w:sz="4"/>
              <w:bottom w:val="single" w:color="D0D0D0" w:sz="4"/>
              <w:right w:val="single" w:color="D0D0D0" w:sz="4"/>
            </w:tcBorders>
            <w:shd w:fill="F5F5F5" w:val="clear"/>
            <w:tcMar>
              <w:top w:type="dxa" w:w="90"/>
              <w:left w:type="dxa" w:w="120"/>
              <w:bottom w:type="dxa" w:w="90"/>
              <w:right w:type="dxa" w:w="120"/>
            </w:tcMar>
          </w:tcPr>
          <w:p>
            <w:r>
              <w:rPr>
                <w:rFonts w:ascii="Arial" w:cs="Arial" w:eastAsia="Arial" w:hAnsi="Arial"/>
                <w:color w:val="212121"/>
                <w:sz w:val="20"/>
                <w:szCs w:val="20"/>
              </w:rPr>
              <w:t xml:space="preserve">Taux de classification correct — trompeur si données déséquilibrées</w:t>
            </w:r>
          </w:p>
        </w:tc>
      </w:tr>
    </w:tbl>
    <w:p>
      <w:pPr>
        <w:spacing w:before="60" w:after="140"/>
        <w:jc w:val="center"/>
      </w:pPr>
      <w:r>
        <w:rPr>
          <w:rFonts w:ascii="Arial" w:cs="Arial" w:eastAsia="Arial" w:hAnsi="Arial"/>
          <w:i/>
          <w:iCs/>
          <w:color w:val="757575"/>
          <w:sz w:val="18"/>
          <w:szCs w:val="18"/>
        </w:rPr>
        <w:t xml:space="preserve">Tableau 5 — Définition et signification des métriques d'évaluation en contexte d'audit</w:t>
      </w:r>
    </w:p>
    <w:p>
      <w:pPr>
        <w:pStyle w:val="Heading2"/>
        <w:spacing w:before="240" w:after="120"/>
      </w:pPr>
      <w:r>
        <w:rPr>
          <w:rFonts w:ascii="Arial" w:cs="Arial" w:eastAsia="Arial" w:hAnsi="Arial"/>
          <w:b/>
          <w:bCs/>
          <w:color w:val="1976D2"/>
          <w:sz w:val="25"/>
          <w:szCs w:val="25"/>
        </w:rPr>
        <w:t xml:space="preserve">7.2 Faux positifs et faux négatifs</w:t>
      </w:r>
    </w:p>
    <w:p>
      <w:pPr>
        <w:spacing w:before="80" w:after="80"/>
        <w:jc w:val="left"/>
      </w:pPr>
      <w:r>
        <w:rPr>
          <w:rFonts w:ascii="Arial" w:cs="Arial" w:eastAsia="Arial" w:hAnsi="Arial"/>
          <w:b w:val="false"/>
          <w:bCs w:val="false"/>
          <w:i w:val="false"/>
          <w:iCs w:val="false"/>
          <w:color w:val="212121"/>
          <w:sz w:val="22"/>
          <w:szCs w:val="22"/>
        </w:rPr>
        <w:t xml:space="preserve">Dans le contexte de l'audit financier, le coût asymétrique des erreurs de classification doit guider le calibrage des modèles :</w:t>
      </w:r>
    </w:p>
    <w:p>
      <w:pPr>
        <w:spacing w:before="8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12"/>
              <w:left w:val="single" w:color="C62828" w:sz="12"/>
              <w:bottom w:val="single" w:color="C62828" w:sz="4"/>
              <w:right w:val="single" w:color="C62828" w:sz="4"/>
            </w:tcBorders>
            <w:shd w:fill="FFEBEE" w:val="clear"/>
            <w:tcMar>
              <w:top w:type="dxa" w:w="140"/>
              <w:left w:type="dxa" w:w="200"/>
              <w:bottom w:type="dxa" w:w="140"/>
              <w:right w:type="dxa" w:w="200"/>
            </w:tcMar>
          </w:tcPr>
          <w:p>
            <w:pPr>
              <w:spacing w:before="0" w:after="60"/>
            </w:pPr>
            <w:r>
              <w:rPr>
                <w:rFonts w:ascii="Arial" w:cs="Arial" w:eastAsia="Arial" w:hAnsi="Arial"/>
                <w:b/>
                <w:bCs/>
                <w:color w:val="C62828"/>
                <w:sz w:val="22"/>
                <w:szCs w:val="22"/>
              </w:rPr>
              <w:t xml:space="preserve">Coût des Faux Négatifs (FN)</w:t>
            </w:r>
          </w:p>
          <w:p>
            <w:pPr>
              <w:spacing w:before="0" w:after="0"/>
            </w:pPr>
            <w:r>
              <w:rPr>
                <w:rFonts w:ascii="Arial" w:cs="Arial" w:eastAsia="Arial" w:hAnsi="Arial"/>
                <w:color w:val="212121"/>
                <w:sz w:val="21"/>
                <w:szCs w:val="21"/>
              </w:rPr>
              <w:t xml:space="preserve">Un faux négatif signifie qu'une écriture frauduleuse n'a pas été détectée. Dans un contexte d'audit légal, ce type d'erreur est le plus préjudiciable car il peut conduire à une opinion d'audit incorrecte et exposer l'auditeur à une responsabilité professionnelle. Le rappel (recall) doit être maximisé en priorité.</w:t>
            </w:r>
          </w:p>
        </w:tc>
      </w:tr>
    </w:tbl>
    <w:p>
      <w:pPr>
        <w:spacing w:before="10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12"/>
              <w:left w:val="single" w:color="E65100" w:sz="12"/>
              <w:bottom w:val="single" w:color="E65100" w:sz="4"/>
              <w:right w:val="single" w:color="E65100" w:sz="4"/>
            </w:tcBorders>
            <w:shd w:fill="FFF8E1" w:val="clear"/>
            <w:tcMar>
              <w:top w:type="dxa" w:w="140"/>
              <w:left w:type="dxa" w:w="200"/>
              <w:bottom w:type="dxa" w:w="140"/>
              <w:right w:type="dxa" w:w="200"/>
            </w:tcMar>
          </w:tcPr>
          <w:p>
            <w:pPr>
              <w:spacing w:before="0" w:after="60"/>
            </w:pPr>
            <w:r>
              <w:rPr>
                <w:rFonts w:ascii="Arial" w:cs="Arial" w:eastAsia="Arial" w:hAnsi="Arial"/>
                <w:b/>
                <w:bCs/>
                <w:color w:val="E65100"/>
                <w:sz w:val="22"/>
                <w:szCs w:val="22"/>
              </w:rPr>
              <w:t xml:space="preserve">Coût des Faux Positifs (FP)</w:t>
            </w:r>
          </w:p>
          <w:p>
            <w:pPr>
              <w:spacing w:before="0" w:after="0"/>
            </w:pPr>
            <w:r>
              <w:rPr>
                <w:rFonts w:ascii="Arial" w:cs="Arial" w:eastAsia="Arial" w:hAnsi="Arial"/>
                <w:color w:val="212121"/>
                <w:sz w:val="21"/>
                <w:szCs w:val="21"/>
              </w:rPr>
              <w:t xml:space="preserve">Un faux positif génère du travail supplémentaire (investigation d'une écriture normale). Bien que moins grave, un taux élevé de faux positifs peut saturer les équipes d'audit et réduire l'efficacité opérationnelle. Un équilibre optimal se situe généralement autour d'un taux de faux positifs &lt; 15%.</w:t>
            </w:r>
          </w:p>
        </w:tc>
      </w:tr>
    </w:tbl>
    <w:p>
      <w:pPr>
        <w:spacing w:before="120" w:after="0"/>
      </w:pPr>
      <w:r>
        <w:rPr>
          <w:sz w:val="22"/>
          <w:szCs w:val="22"/>
        </w:rPr>
        <w:t xml:space="preserve"/>
      </w:r>
    </w:p>
    <w:p>
      <w:pPr>
        <w:pStyle w:val="Heading2"/>
        <w:spacing w:before="240" w:after="120"/>
      </w:pPr>
      <w:r>
        <w:rPr>
          <w:rFonts w:ascii="Arial" w:cs="Arial" w:eastAsia="Arial" w:hAnsi="Arial"/>
          <w:b/>
          <w:bCs/>
          <w:color w:val="1976D2"/>
          <w:sz w:val="25"/>
          <w:szCs w:val="25"/>
        </w:rPr>
        <w:t xml:space="preserve">7.3 Limites de l'approche</w:t>
      </w:r>
    </w:p>
    <w:p>
      <w:pPr>
        <w:pStyle w:val="ListParagraph"/>
        <w:numPr>
          <w:ilvl w:val="0"/>
          <w:numId w:val="2"/>
        </w:numPr>
        <w:spacing w:before="60" w:after="60"/>
      </w:pPr>
      <w:r>
        <w:rPr>
          <w:rFonts w:ascii="Arial" w:cs="Arial" w:eastAsia="Arial" w:hAnsi="Arial"/>
          <w:color w:val="212121"/>
          <w:sz w:val="22"/>
          <w:szCs w:val="22"/>
        </w:rPr>
        <w:t xml:space="preserve">Surapprentissage potentiel sur données synthétiques : les performances de 100% du Random Forest reflètent la nature simulée du dataset. Sur des données réelles, des performances de 80-90% en F1-score seraient un résultat excellent.</w:t>
      </w:r>
    </w:p>
    <w:p>
      <w:pPr>
        <w:pStyle w:val="ListParagraph"/>
        <w:numPr>
          <w:ilvl w:val="0"/>
          <w:numId w:val="2"/>
        </w:numPr>
        <w:spacing w:before="60" w:after="60"/>
      </w:pPr>
      <w:r>
        <w:rPr>
          <w:rFonts w:ascii="Arial" w:cs="Arial" w:eastAsia="Arial" w:hAnsi="Arial"/>
          <w:color w:val="212121"/>
          <w:sz w:val="22"/>
          <w:szCs w:val="22"/>
        </w:rPr>
        <w:t xml:space="preserve">Isolation Forest moins performant en supervisé : l'algorithme non supervisé (F1=75,6%) est conçu pour opérer sans labels, ce qui le rend pertinent pour les nouveaux datasets sans historique d'anomalies labellisées.</w:t>
      </w:r>
    </w:p>
    <w:p>
      <w:pPr>
        <w:pStyle w:val="ListParagraph"/>
        <w:numPr>
          <w:ilvl w:val="0"/>
          <w:numId w:val="2"/>
        </w:numPr>
        <w:spacing w:before="60" w:after="60"/>
      </w:pPr>
      <w:r>
        <w:rPr>
          <w:rFonts w:ascii="Arial" w:cs="Arial" w:eastAsia="Arial" w:hAnsi="Arial"/>
          <w:color w:val="212121"/>
          <w:sz w:val="22"/>
          <w:szCs w:val="22"/>
        </w:rPr>
        <w:t xml:space="preserve">Dérive temporelle : les modèles doivent être réentraînés périodiquement pour s'adapter aux nouvelles patterns de fraude.</w:t>
      </w:r>
    </w:p>
    <w:p>
      <w:pPr>
        <w:pStyle w:val="ListParagraph"/>
        <w:numPr>
          <w:ilvl w:val="0"/>
          <w:numId w:val="2"/>
        </w:numPr>
        <w:spacing w:before="60" w:after="60"/>
      </w:pPr>
      <w:r>
        <w:rPr>
          <w:rFonts w:ascii="Arial" w:cs="Arial" w:eastAsia="Arial" w:hAnsi="Arial"/>
          <w:color w:val="212121"/>
          <w:sz w:val="22"/>
          <w:szCs w:val="22"/>
        </w:rPr>
        <w:t xml:space="preserve">Biais de confirmation : les features sélectionnées reflètent des schémas connus de fraude. Des fraudes innovantes pourraient contourner ces détecteurs.</w:t>
      </w:r>
    </w:p>
    <w:p>
      <w:pPr>
        <w:spacing w:before="80" w:after="0"/>
      </w:pPr>
      <w:r>
        <w:rPr>
          <w:sz w:val="22"/>
          <w:szCs w:val="22"/>
        </w:rPr>
        <w:t xml:space="preserve"/>
      </w:r>
    </w:p>
    <w:p>
      <w:r>
        <w:br w:type="page"/>
      </w:r>
    </w:p>
    <w:p>
      <w:pPr>
        <w:pStyle w:val="Heading1"/>
        <w:pBdr>
          <w:bottom w:val="single" w:color="1976D2" w:sz="8" w:space="4"/>
        </w:pBdr>
        <w:spacing w:before="320" w:after="160"/>
      </w:pPr>
      <w:r>
        <w:rPr>
          <w:rFonts w:ascii="Arial" w:cs="Arial" w:eastAsia="Arial" w:hAnsi="Arial"/>
          <w:b/>
          <w:bCs/>
          <w:color w:val="1565C0"/>
          <w:sz w:val="30"/>
          <w:szCs w:val="30"/>
        </w:rPr>
        <w:t xml:space="preserve">8. Recommandations</w:t>
      </w:r>
    </w:p>
    <w:p>
      <w:pPr>
        <w:pStyle w:val="Heading2"/>
        <w:spacing w:before="240" w:after="120"/>
      </w:pPr>
      <w:r>
        <w:rPr>
          <w:rFonts w:ascii="Arial" w:cs="Arial" w:eastAsia="Arial" w:hAnsi="Arial"/>
          <w:b/>
          <w:bCs/>
          <w:color w:val="1976D2"/>
          <w:sz w:val="25"/>
          <w:szCs w:val="25"/>
        </w:rPr>
        <w:t xml:space="preserve">8.1 Recommandations opérationnelles immédiates</w:t>
      </w:r>
    </w:p>
    <w:p>
      <w:pPr>
        <w:pStyle w:val="ListParagraph"/>
        <w:numPr>
          <w:ilvl w:val="0"/>
          <w:numId w:val="2"/>
        </w:numPr>
        <w:spacing w:before="60" w:after="60"/>
      </w:pPr>
      <w:r>
        <w:rPr>
          <w:rFonts w:ascii="Arial" w:cs="Arial" w:eastAsia="Arial" w:hAnsi="Arial"/>
          <w:b/>
          <w:bCs/>
          <w:color w:val="212121"/>
          <w:sz w:val="22"/>
          <w:szCs w:val="22"/>
        </w:rPr>
        <w:t xml:space="preserve">🔴 </w:t>
      </w:r>
      <w:r>
        <w:rPr>
          <w:rFonts w:ascii="Arial" w:cs="Arial" w:eastAsia="Arial" w:hAnsi="Arial"/>
          <w:color w:val="212121"/>
          <w:sz w:val="22"/>
          <w:szCs w:val="22"/>
        </w:rPr>
        <w:t xml:space="preserve">Investiguer en priorité les 45 écritures flaggées comme suspectes, en commençant par les ajustements manuels de fin d'exercice (risque CRITIQUE)</w:t>
      </w:r>
    </w:p>
    <w:p>
      <w:pPr>
        <w:pStyle w:val="ListParagraph"/>
        <w:numPr>
          <w:ilvl w:val="0"/>
          <w:numId w:val="2"/>
        </w:numPr>
        <w:spacing w:before="60" w:after="60"/>
      </w:pPr>
      <w:r>
        <w:rPr>
          <w:rFonts w:ascii="Arial" w:cs="Arial" w:eastAsia="Arial" w:hAnsi="Arial"/>
          <w:b/>
          <w:bCs/>
          <w:color w:val="212121"/>
          <w:sz w:val="22"/>
          <w:szCs w:val="22"/>
        </w:rPr>
        <w:t xml:space="preserve">🔴 </w:t>
      </w:r>
      <w:r>
        <w:rPr>
          <w:rFonts w:ascii="Arial" w:cs="Arial" w:eastAsia="Arial" w:hAnsi="Arial"/>
          <w:color w:val="212121"/>
          <w:sz w:val="22"/>
          <w:szCs w:val="22"/>
        </w:rPr>
        <w:t xml:space="preserve">Mettre en place une revue systématique de toutes les transactions passées le week-end ou entre 20h et 6h du matin</w:t>
      </w:r>
    </w:p>
    <w:p>
      <w:pPr>
        <w:pStyle w:val="ListParagraph"/>
        <w:numPr>
          <w:ilvl w:val="0"/>
          <w:numId w:val="2"/>
        </w:numPr>
        <w:spacing w:before="60" w:after="60"/>
      </w:pPr>
      <w:r>
        <w:rPr>
          <w:rFonts w:ascii="Arial" w:cs="Arial" w:eastAsia="Arial" w:hAnsi="Arial"/>
          <w:b/>
          <w:bCs/>
          <w:color w:val="212121"/>
          <w:sz w:val="22"/>
          <w:szCs w:val="22"/>
        </w:rPr>
        <w:t xml:space="preserve">🟠 </w:t>
      </w:r>
      <w:r>
        <w:rPr>
          <w:rFonts w:ascii="Arial" w:cs="Arial" w:eastAsia="Arial" w:hAnsi="Arial"/>
          <w:color w:val="212121"/>
          <w:sz w:val="22"/>
          <w:szCs w:val="22"/>
        </w:rPr>
        <w:t xml:space="preserve">Analyser les séries de montants proches de 10 000 MAD pour identifier des schémas de fractionnement</w:t>
      </w:r>
    </w:p>
    <w:p>
      <w:pPr>
        <w:pStyle w:val="ListParagraph"/>
        <w:numPr>
          <w:ilvl w:val="0"/>
          <w:numId w:val="2"/>
        </w:numPr>
        <w:spacing w:before="60" w:after="60"/>
      </w:pPr>
      <w:r>
        <w:rPr>
          <w:rFonts w:ascii="Arial" w:cs="Arial" w:eastAsia="Arial" w:hAnsi="Arial"/>
          <w:b/>
          <w:bCs/>
          <w:color w:val="212121"/>
          <w:sz w:val="22"/>
          <w:szCs w:val="22"/>
        </w:rPr>
        <w:t xml:space="preserve">🟠 </w:t>
      </w:r>
      <w:r>
        <w:rPr>
          <w:rFonts w:ascii="Arial" w:cs="Arial" w:eastAsia="Arial" w:hAnsi="Arial"/>
          <w:color w:val="212121"/>
          <w:sz w:val="22"/>
          <w:szCs w:val="22"/>
        </w:rPr>
        <w:t xml:space="preserve">Examiner l'historique complet des transactions de l'utilisateur "Directeur_Fin" sur les 12 derniers mois</w:t>
      </w:r>
    </w:p>
    <w:p>
      <w:pPr>
        <w:spacing w:before="100" w:after="0"/>
      </w:pPr>
      <w:r>
        <w:rPr>
          <w:sz w:val="22"/>
          <w:szCs w:val="22"/>
        </w:rPr>
        <w:t xml:space="preserve"/>
      </w:r>
    </w:p>
    <w:p>
      <w:pPr>
        <w:pStyle w:val="Heading2"/>
        <w:spacing w:before="240" w:after="120"/>
      </w:pPr>
      <w:r>
        <w:rPr>
          <w:rFonts w:ascii="Arial" w:cs="Arial" w:eastAsia="Arial" w:hAnsi="Arial"/>
          <w:b/>
          <w:bCs/>
          <w:color w:val="1976D2"/>
          <w:sz w:val="25"/>
          <w:szCs w:val="25"/>
        </w:rPr>
        <w:t xml:space="preserve">8.2 Renforcement des contrôles internes</w:t>
      </w:r>
    </w:p>
    <w:p>
      <w:pPr>
        <w:pStyle w:val="ListParagraph"/>
        <w:numPr>
          <w:ilvl w:val="0"/>
          <w:numId w:val="2"/>
        </w:numPr>
        <w:spacing w:before="60" w:after="60"/>
      </w:pPr>
      <w:r>
        <w:rPr>
          <w:rFonts w:ascii="Arial" w:cs="Arial" w:eastAsia="Arial" w:hAnsi="Arial"/>
          <w:color w:val="212121"/>
          <w:sz w:val="22"/>
          <w:szCs w:val="22"/>
        </w:rPr>
        <w:t xml:space="preserve">Workflow d'approbation à deux niveaux pour toute écriture dépassant 50 000 MAD</w:t>
      </w:r>
    </w:p>
    <w:p>
      <w:pPr>
        <w:pStyle w:val="ListParagraph"/>
        <w:numPr>
          <w:ilvl w:val="0"/>
          <w:numId w:val="2"/>
        </w:numPr>
        <w:spacing w:before="60" w:after="60"/>
      </w:pPr>
      <w:r>
        <w:rPr>
          <w:rFonts w:ascii="Arial" w:cs="Arial" w:eastAsia="Arial" w:hAnsi="Arial"/>
          <w:color w:val="212121"/>
          <w:sz w:val="22"/>
          <w:szCs w:val="22"/>
        </w:rPr>
        <w:t xml:space="preserve">Alerte automatique pour toute saisie hors plages horaires définies (règles de travail)</w:t>
      </w:r>
    </w:p>
    <w:p>
      <w:pPr>
        <w:pStyle w:val="ListParagraph"/>
        <w:numPr>
          <w:ilvl w:val="0"/>
          <w:numId w:val="2"/>
        </w:numPr>
        <w:spacing w:before="60" w:after="60"/>
      </w:pPr>
      <w:r>
        <w:rPr>
          <w:rFonts w:ascii="Arial" w:cs="Arial" w:eastAsia="Arial" w:hAnsi="Arial"/>
          <w:color w:val="212121"/>
          <w:sz w:val="22"/>
          <w:szCs w:val="22"/>
        </w:rPr>
        <w:t xml:space="preserve">Restriction des droits de modification des écritures clôturées — journaux verrouillés après clôture mensuelle</w:t>
      </w:r>
    </w:p>
    <w:p>
      <w:pPr>
        <w:pStyle w:val="ListParagraph"/>
        <w:numPr>
          <w:ilvl w:val="0"/>
          <w:numId w:val="2"/>
        </w:numPr>
        <w:spacing w:before="60" w:after="60"/>
      </w:pPr>
      <w:r>
        <w:rPr>
          <w:rFonts w:ascii="Arial" w:cs="Arial" w:eastAsia="Arial" w:hAnsi="Arial"/>
          <w:color w:val="212121"/>
          <w:sz w:val="22"/>
          <w:szCs w:val="22"/>
        </w:rPr>
        <w:t xml:space="preserve">Mise en place d'un journal d'audit informatique (logs immuables) pour traçabilité complète</w:t>
      </w:r>
    </w:p>
    <w:p>
      <w:pPr>
        <w:spacing w:before="100" w:after="0"/>
      </w:pPr>
      <w:r>
        <w:rPr>
          <w:sz w:val="22"/>
          <w:szCs w:val="22"/>
        </w:rPr>
        <w:t xml:space="preserve"/>
      </w:r>
    </w:p>
    <w:p>
      <w:pPr>
        <w:pStyle w:val="Heading2"/>
        <w:spacing w:before="240" w:after="120"/>
      </w:pPr>
      <w:r>
        <w:rPr>
          <w:rFonts w:ascii="Arial" w:cs="Arial" w:eastAsia="Arial" w:hAnsi="Arial"/>
          <w:b/>
          <w:bCs/>
          <w:color w:val="1976D2"/>
          <w:sz w:val="25"/>
          <w:szCs w:val="25"/>
        </w:rPr>
        <w:t xml:space="preserve">8.3 Mise en production du modèle</w:t>
      </w:r>
    </w:p>
    <w:p>
      <w:pPr>
        <w:pStyle w:val="ListParagraph"/>
        <w:numPr>
          <w:ilvl w:val="0"/>
          <w:numId w:val="2"/>
        </w:numPr>
        <w:spacing w:before="60" w:after="60"/>
      </w:pPr>
      <w:r>
        <w:rPr>
          <w:rFonts w:ascii="Arial" w:cs="Arial" w:eastAsia="Arial" w:hAnsi="Arial"/>
          <w:color w:val="212121"/>
          <w:sz w:val="22"/>
          <w:szCs w:val="22"/>
        </w:rPr>
        <w:t xml:space="preserve">Déployer le modèle Random Forest en mode monitoring continu sur le flux quotidien d'écritures</w:t>
      </w:r>
    </w:p>
    <w:p>
      <w:pPr>
        <w:pStyle w:val="ListParagraph"/>
        <w:numPr>
          <w:ilvl w:val="0"/>
          <w:numId w:val="2"/>
        </w:numPr>
        <w:spacing w:before="60" w:after="60"/>
      </w:pPr>
      <w:r>
        <w:rPr>
          <w:rFonts w:ascii="Arial" w:cs="Arial" w:eastAsia="Arial" w:hAnsi="Arial"/>
          <w:color w:val="212121"/>
          <w:sz w:val="22"/>
          <w:szCs w:val="22"/>
        </w:rPr>
        <w:t xml:space="preserve">Paramétrer le seuil de probabilité à 0,35 (au lieu de 0,5) pour maximiser le rappel et minimiser les faux négatifs</w:t>
      </w:r>
    </w:p>
    <w:p>
      <w:pPr>
        <w:pStyle w:val="ListParagraph"/>
        <w:numPr>
          <w:ilvl w:val="0"/>
          <w:numId w:val="2"/>
        </w:numPr>
        <w:spacing w:before="60" w:after="60"/>
      </w:pPr>
      <w:r>
        <w:rPr>
          <w:rFonts w:ascii="Arial" w:cs="Arial" w:eastAsia="Arial" w:hAnsi="Arial"/>
          <w:color w:val="212121"/>
          <w:sz w:val="22"/>
          <w:szCs w:val="22"/>
        </w:rPr>
        <w:t xml:space="preserve">Réentraîner le modèle trimestriellement avec les nouvelles données validées par les auditeurs</w:t>
      </w:r>
    </w:p>
    <w:p>
      <w:pPr>
        <w:pStyle w:val="ListParagraph"/>
        <w:numPr>
          <w:ilvl w:val="0"/>
          <w:numId w:val="2"/>
        </w:numPr>
        <w:spacing w:before="60" w:after="60"/>
      </w:pPr>
      <w:r>
        <w:rPr>
          <w:rFonts w:ascii="Arial" w:cs="Arial" w:eastAsia="Arial" w:hAnsi="Arial"/>
          <w:color w:val="212121"/>
          <w:sz w:val="22"/>
          <w:szCs w:val="22"/>
        </w:rPr>
        <w:t xml:space="preserve">Intégrer les scores de risque dans le tableau de bord du contrôle interne pour priorisation des investigations</w:t>
      </w:r>
    </w:p>
    <w:p>
      <w:pPr>
        <w:spacing w:before="80" w:after="0"/>
      </w:pPr>
      <w:r>
        <w:rPr>
          <w:sz w:val="22"/>
          <w:szCs w:val="22"/>
        </w:rPr>
        <w:t xml:space="preserve"/>
      </w:r>
    </w:p>
    <w:p>
      <w:pPr>
        <w:pStyle w:val="Heading1"/>
        <w:pBdr>
          <w:bottom w:val="single" w:color="1976D2" w:sz="8" w:space="4"/>
        </w:pBdr>
        <w:spacing w:before="320" w:after="160"/>
      </w:pPr>
      <w:r>
        <w:rPr>
          <w:rFonts w:ascii="Arial" w:cs="Arial" w:eastAsia="Arial" w:hAnsi="Arial"/>
          <w:b/>
          <w:bCs/>
          <w:color w:val="1565C0"/>
          <w:sz w:val="30"/>
          <w:szCs w:val="30"/>
        </w:rPr>
        <w:t xml:space="preserve">9. Conclusion</w:t>
      </w:r>
    </w:p>
    <w:p>
      <w:pPr>
        <w:spacing w:before="80" w:after="120"/>
        <w:jc w:val="left"/>
      </w:pPr>
      <w:r>
        <w:rPr>
          <w:rFonts w:ascii="Arial" w:cs="Arial" w:eastAsia="Arial" w:hAnsi="Arial"/>
          <w:b w:val="false"/>
          <w:bCs w:val="false"/>
          <w:i w:val="false"/>
          <w:iCs w:val="false"/>
          <w:color w:val="212121"/>
          <w:sz w:val="22"/>
          <w:szCs w:val="22"/>
        </w:rPr>
        <w:t xml:space="preserve">Cette étude démontre la complémentarité et la puissance des approches hybrides pour la détection d'anomalies comptables. La combinaison de la loi de Benford — méthode statistique classique et auditée — avec des algorithmes de machine learning modernes constitue une réponse adaptée aux enjeux contemporains de l'audit analytique.</w:t>
      </w:r>
    </w:p>
    <w:p>
      <w:pPr>
        <w:spacing w:before="80" w:after="120"/>
        <w:jc w:val="left"/>
      </w:pPr>
      <w:r>
        <w:rPr>
          <w:rFonts w:ascii="Arial" w:cs="Arial" w:eastAsia="Arial" w:hAnsi="Arial"/>
          <w:b w:val="false"/>
          <w:bCs w:val="false"/>
          <w:i w:val="false"/>
          <w:iCs w:val="false"/>
          <w:color w:val="212121"/>
          <w:sz w:val="22"/>
          <w:szCs w:val="22"/>
        </w:rPr>
        <w:t xml:space="preserve">Les résultats obtenus valident la robustesse de l'approche : le Random Forest atteint d'excellentes performances sur les données structurées, tandis que l'Isolation Forest offre une alternative crédible pour les environnements sans historique labellisé. Sur des données de production réelles, une F1-score de 80-90% est un objectif réaliste, avec un rappel maintenu au-dessus de 85% pour garantir une couverture suffisante des risques de fraude.</w:t>
      </w:r>
    </w:p>
    <w:p>
      <w:pPr>
        <w:spacing w:before="80" w:after="80"/>
        <w:jc w:val="left"/>
      </w:pPr>
      <w:r>
        <w:rPr>
          <w:rFonts w:ascii="Arial" w:cs="Arial" w:eastAsia="Arial" w:hAnsi="Arial"/>
          <w:b w:val="false"/>
          <w:bCs w:val="false"/>
          <w:i w:val="false"/>
          <w:iCs w:val="false"/>
          <w:color w:val="212121"/>
          <w:sz w:val="22"/>
          <w:szCs w:val="22"/>
        </w:rPr>
        <w:t xml:space="preserve">L'auditeur dispose désormais d'un outil analytique documenté, reproductible et explicable — trois qualités essentielles pour la légitimité professionnelle d'une mission d'audit basée sur les données. La prochaine étape consiste à déployer ce pipeline sur les données réelles de l'entité auditée et à former les équipes à l'interprétation des alertes générées.</w:t>
      </w:r>
    </w:p>
    <w:p>
      <w:pPr>
        <w:spacing w:before="12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976D2" w:sz="12"/>
              <w:left w:val="single" w:color="1976D2" w:sz="12"/>
              <w:bottom w:val="single" w:color="1976D2" w:sz="4"/>
              <w:right w:val="single" w:color="1976D2" w:sz="4"/>
            </w:tcBorders>
            <w:shd w:fill="E3F2FD" w:val="clear"/>
            <w:tcMar>
              <w:top w:type="dxa" w:w="140"/>
              <w:left w:type="dxa" w:w="200"/>
              <w:bottom w:type="dxa" w:w="140"/>
              <w:right w:type="dxa" w:w="200"/>
            </w:tcMar>
          </w:tcPr>
          <w:p>
            <w:pPr>
              <w:spacing w:before="0" w:after="60"/>
            </w:pPr>
            <w:r>
              <w:rPr>
                <w:rFonts w:ascii="Arial" w:cs="Arial" w:eastAsia="Arial" w:hAnsi="Arial"/>
                <w:b/>
                <w:bCs/>
                <w:color w:val="1976D2"/>
                <w:sz w:val="22"/>
                <w:szCs w:val="22"/>
              </w:rPr>
              <w:t xml:space="preserve">Synthèse des résultats clés</w:t>
            </w:r>
          </w:p>
          <w:p>
            <w:pPr>
              <w:spacing w:before="0" w:after="0"/>
            </w:pPr>
            <w:r>
              <w:rPr>
                <w:rFonts w:ascii="Arial" w:cs="Arial" w:eastAsia="Arial" w:hAnsi="Arial"/>
                <w:color w:val="212121"/>
                <w:sz w:val="21"/>
                <w:szCs w:val="21"/>
              </w:rPr>
              <w:t xml:space="preserve">Sur 500 écritures analysées, 45 anomalies (9.0%) ont été identifiées. Le Random Forest atteint un F1-score de 100.0% avec une précision et un rappel de 100.0%. L'Isolation Forest non supervisé atteint un F1-score de 75.6%, confirmant la détectabilité des patterns anormaux même sans labels. La loi de Benford identifie visuellement les zones d'attention, notamment les chiffres 8 et 9 surreprésentés.</w:t>
            </w:r>
          </w:p>
        </w:tc>
      </w:tr>
    </w:tbl>
    <w:p>
      <w:pPr>
        <w:spacing w:before="80" w:after="0"/>
      </w:pPr>
      <w:r>
        <w:rPr>
          <w:sz w:val="22"/>
          <w:szCs w:val="22"/>
        </w:rPr>
        <w:t xml:space="preserve"/>
      </w:r>
    </w:p>
    <w:sectPr>
      <w:headerReference w:type="default" r:id="rId6"/>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BDBD" w:sz="4"/>
      </w:pBdr>
      <w:spacing w:before="80"/>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976D2" w:sz="4"/>
      </w:pBdr>
      <w:spacing w:after="80"/>
      <w:jc w:val="right"/>
    </w:pPr>
    <w:r>
      <w:rPr>
        <w:rFonts w:ascii="Arial" w:cs="Arial" w:eastAsia="Arial" w:hAnsi="Arial"/>
        <w:i/>
        <w:iCs/>
        <w:color w:val="888888"/>
        <w:sz w:val="18"/>
        <w:szCs w:val="18"/>
      </w:rPr>
      <w:t xml:space="preserve">Rapport d'Audit — Détection d'Anomalies Comptables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1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565C0"/>
      <w:sz w:val="30"/>
      <w:szCs w:val="30"/>
    </w:rPr>
  </w:style>
  <w:style w:type="paragraph" w:styleId="Heading2">
    <w:name w:val="Heading 2"/>
    <w:basedOn w:val="Normal"/>
    <w:next w:val="Normal"/>
    <w:qFormat/>
    <w:pPr>
      <w:spacing w:before="240" w:after="120"/>
      <w:outlineLvl w:val="1"/>
    </w:pPr>
    <w:rPr>
      <w:rFonts w:ascii="Arial" w:cs="Arial" w:eastAsia="Arial" w:hAnsi="Arial"/>
      <w:b/>
      <w:bCs/>
      <w:color w:val="1976D2"/>
      <w:sz w:val="25"/>
      <w:szCs w:val="25"/>
    </w:rPr>
  </w:style>
  <w:style w:type="paragraph" w:styleId="Heading3">
    <w:name w:val="Heading 3"/>
    <w:basedOn w:val="Normal"/>
    <w:next w:val="Normal"/>
    <w:qFormat/>
    <w:pPr>
      <w:spacing w:before="160" w:after="80"/>
      <w:outlineLvl w:val="2"/>
    </w:pPr>
    <w:rPr>
      <w:rFonts w:ascii="Arial" w:cs="Arial" w:eastAsia="Arial" w:hAnsi="Arial"/>
      <w:b/>
      <w:bCs/>
      <w:color w:val="E651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1849a1c4b02007a9449404958f5359b551062b4b.png"/><Relationship Id="rId9" Type="http://schemas.openxmlformats.org/officeDocument/2006/relationships/image" Target="media/11666aaf92554232e18a3ccb2080b130aa861123.png"/><Relationship Id="rId10" Type="http://schemas.openxmlformats.org/officeDocument/2006/relationships/image" Target="media/8824f8b846d6beb17ac9a350c5f806240d96b78e.png"/><Relationship Id="rId11" Type="http://schemas.openxmlformats.org/officeDocument/2006/relationships/image" Target="media/90135436225f81dc34f874b144034d346ccd81b2.png"/><Relationship Id="rId12" Type="http://schemas.openxmlformats.org/officeDocument/2006/relationships/image" Target="media/5d7d77e313043572bb14010f2588d68139b3709c.png"/><Relationship Id="rId13"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2026-03-24T13:08:54.175Z</dcterms:created>
  <dcterms:modified xsi:type="dcterms:W3CDTF">2026-03-24T13:08:54.175Z</dcterms:modified>
</cp:coreProperties>
</file>

<file path=docProps/custom.xml><?xml version="1.0" encoding="utf-8"?>
<Properties xmlns="http://schemas.openxmlformats.org/officeDocument/2006/custom-properties" xmlns:vt="http://schemas.openxmlformats.org/officeDocument/2006/docPropsVTypes"/>
</file>