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line="240" w:lineRule="auto"/>
        <w:jc w:val="left"/>
      </w:pPr>
      <w:r>
        <w:rPr>
          <w:rFonts w:ascii="Times New Roman" w:hAnsi="Times New Roman"/>
          <w:b/>
          <w:color w:val="000000"/>
          <w:sz w:val="36"/>
        </w:rPr>
        <w:t>JEB separate title page</w:t>
      </w:r>
    </w:p>
    <w:p>
      <w:pPr>
        <w:pStyle w:val="Heading2"/>
      </w:pPr>
      <w:r>
        <w:t>Article metadata</w:t>
      </w:r>
    </w:p>
    <w:p>
      <w:pPr/>
      <w:r>
        <w:rPr>
          <w:rFonts w:ascii="Times New Roman" w:hAnsi="Times New Roman"/>
          <w:b/>
          <w:color w:val="000000"/>
          <w:sz w:val="24"/>
        </w:rPr>
        <w:t>Article type:</w:t>
      </w:r>
      <w:r>
        <w:rPr>
          <w:rFonts w:ascii="Times New Roman" w:hAnsi="Times New Roman"/>
          <w:color w:val="000000"/>
          <w:sz w:val="24"/>
        </w:rPr>
        <w:t xml:space="preserve"> Research Article</w:t>
      </w:r>
    </w:p>
    <w:p>
      <w:pPr/>
      <w:r>
        <w:rPr>
          <w:rFonts w:ascii="Times New Roman" w:hAnsi="Times New Roman"/>
          <w:b/>
          <w:color w:val="000000"/>
          <w:sz w:val="24"/>
        </w:rPr>
        <w:t>Title:</w:t>
      </w:r>
      <w:r>
        <w:rPr>
          <w:rFonts w:ascii="Times New Roman" w:hAnsi="Times New Roman"/>
          <w:color w:val="000000"/>
          <w:sz w:val="24"/>
        </w:rPr>
        <w:t xml:space="preserve"> Present-day phenotypic integration does not imply a shared evolutionary history in a rapid thistle radiation</w:t>
      </w:r>
    </w:p>
    <w:p>
      <w:pPr/>
      <w:r>
        <w:rPr>
          <w:rFonts w:ascii="Times New Roman" w:hAnsi="Times New Roman"/>
          <w:b/>
          <w:color w:val="000000"/>
          <w:sz w:val="24"/>
        </w:rPr>
        <w:t>Running title:</w:t>
      </w:r>
      <w:r>
        <w:rPr>
          <w:rFonts w:ascii="Times New Roman" w:hAnsi="Times New Roman"/>
          <w:color w:val="000000"/>
          <w:sz w:val="24"/>
        </w:rPr>
        <w:t xml:space="preserve"> Scale-dependent capitulum integration</w:t>
      </w:r>
    </w:p>
    <w:p>
      <w:pPr/>
      <w:r>
        <w:rPr>
          <w:rFonts w:ascii="Times New Roman" w:hAnsi="Times New Roman"/>
          <w:b/>
          <w:color w:val="000000"/>
          <w:sz w:val="24"/>
        </w:rPr>
        <w:t>Main-text word count:</w:t>
      </w:r>
      <w:r>
        <w:rPr>
          <w:rFonts w:ascii="Times New Roman" w:hAnsi="Times New Roman"/>
          <w:color w:val="000000"/>
          <w:sz w:val="24"/>
        </w:rPr>
        <w:t xml:space="preserve"> 3,749 words before references, including figure legends and alternative text, using the CI validator count for </w:t>
      </w:r>
      <w:r>
        <w:rPr>
          <w:rFonts w:ascii="Courier New" w:hAnsi="Courier New"/>
          <w:color w:val="000000"/>
          <w:sz w:val="24"/>
        </w:rPr>
        <w:t>MANUSCRIPT_JEB_V3.md</w:t>
      </w:r>
    </w:p>
    <w:p>
      <w:pPr/>
      <w:r>
        <w:rPr>
          <w:rFonts w:ascii="Times New Roman" w:hAnsi="Times New Roman"/>
          <w:b/>
          <w:color w:val="000000"/>
          <w:sz w:val="24"/>
        </w:rPr>
        <w:t>Abstract word count:</w:t>
      </w:r>
      <w:r>
        <w:rPr>
          <w:rFonts w:ascii="Times New Roman" w:hAnsi="Times New Roman"/>
          <w:color w:val="000000"/>
          <w:sz w:val="24"/>
        </w:rPr>
        <w:t xml:space="preserve"> 227</w:t>
      </w:r>
    </w:p>
    <w:p>
      <w:pPr/>
      <w:r>
        <w:rPr>
          <w:rFonts w:ascii="Times New Roman" w:hAnsi="Times New Roman"/>
          <w:b/>
          <w:color w:val="000000"/>
          <w:sz w:val="24"/>
        </w:rPr>
        <w:t>Keywords:</w:t>
      </w:r>
      <w:r>
        <w:rPr>
          <w:rFonts w:ascii="Times New Roman" w:hAnsi="Times New Roman"/>
          <w:color w:val="000000"/>
          <w:sz w:val="24"/>
        </w:rPr>
        <w:t xml:space="preserve"> </w:t>
      </w:r>
      <w:r>
        <w:rPr>
          <w:rFonts w:ascii="Times New Roman" w:hAnsi="Times New Roman"/>
          <w:i/>
          <w:color w:val="000000"/>
          <w:sz w:val="24"/>
        </w:rPr>
        <w:t>Cirsium</w:t>
      </w:r>
      <w:r>
        <w:rPr>
          <w:rFonts w:ascii="Times New Roman" w:hAnsi="Times New Roman"/>
          <w:color w:val="000000"/>
          <w:sz w:val="24"/>
        </w:rPr>
        <w:t>; capitulum; phenotypic integration; phylogenetic signal; phenomics; rapid radiation; trait recurrence; topology uncertainty</w:t>
      </w:r>
    </w:p>
    <w:p>
      <w:pPr>
        <w:pStyle w:val="Heading2"/>
      </w:pPr>
      <w:r>
        <w:t>Authors and affiliations — author completion required</w:t>
      </w:r>
    </w:p>
    <w:p>
      <w:pPr/>
      <w:r>
        <w:rPr>
          <w:rFonts w:ascii="Times New Roman" w:hAnsi="Times New Roman"/>
          <w:b/>
          <w:color w:val="000000"/>
          <w:sz w:val="24"/>
        </w:rPr>
        <w:t>Authors:</w:t>
      </w:r>
      <w:r>
        <w:rPr>
          <w:rFonts w:ascii="Times New Roman" w:hAnsi="Times New Roman"/>
          <w:color w:val="000000"/>
          <w:sz w:val="24"/>
        </w:rPr>
        <w:t xml:space="preserve"> [INSERT COMPLETE AUTHOR LIST IN PUBLICATION ORDER]</w:t>
      </w:r>
    </w:p>
    <w:p>
      <w:pPr/>
      <w:r>
        <w:rPr>
          <w:rFonts w:ascii="Times New Roman" w:hAnsi="Times New Roman"/>
          <w:b/>
          <w:color w:val="000000"/>
          <w:sz w:val="24"/>
        </w:rPr>
        <w:t>Affiliations:</w:t>
      </w:r>
      <w:r>
        <w:rPr>
          <w:rFonts w:ascii="Times New Roman" w:hAnsi="Times New Roman"/>
          <w:color w:val="000000"/>
          <w:sz w:val="24"/>
        </w:rPr>
        <w:t xml:space="preserve"> [INSERT NUMBERED AFFILIATIONS]</w:t>
      </w:r>
    </w:p>
    <w:p>
      <w:pPr/>
      <w:r>
        <w:rPr>
          <w:rFonts w:ascii="Times New Roman" w:hAnsi="Times New Roman"/>
          <w:b/>
          <w:color w:val="000000"/>
          <w:sz w:val="24"/>
        </w:rPr>
        <w:t>Corresponding author:</w:t>
      </w:r>
      <w:r>
        <w:rPr>
          <w:rFonts w:ascii="Times New Roman" w:hAnsi="Times New Roman"/>
          <w:color w:val="000000"/>
          <w:sz w:val="24"/>
        </w:rPr>
        <w:t xml:space="preserve"> [INSERT NAME, POSTAL ADDRESS AND EMAIL]</w:t>
      </w:r>
    </w:p>
    <w:p>
      <w:pPr/>
      <w:r>
        <w:rPr>
          <w:rFonts w:ascii="Times New Roman" w:hAnsi="Times New Roman"/>
          <w:b/>
          <w:color w:val="000000"/>
          <w:sz w:val="24"/>
        </w:rPr>
        <w:t>ORCID identifiers:</w:t>
      </w:r>
      <w:r>
        <w:rPr>
          <w:rFonts w:ascii="Times New Roman" w:hAnsi="Times New Roman"/>
          <w:color w:val="000000"/>
          <w:sz w:val="24"/>
        </w:rPr>
        <w:t xml:space="preserve"> [INSERT WHERE AVAILABLE]</w:t>
      </w:r>
    </w:p>
    <w:p>
      <w:pPr/>
      <w:r>
        <w:rPr>
          <w:rFonts w:ascii="Times New Roman" w:hAnsi="Times New Roman"/>
          <w:color w:val="000000"/>
          <w:sz w:val="24"/>
        </w:rPr>
        <w:t>Do not copy these identifying fields into the double-anonymous main manuscript.</w:t>
      </w:r>
    </w:p>
    <w:p>
      <w:pPr>
        <w:pStyle w:val="Heading2"/>
      </w:pPr>
      <w:r>
        <w:t>Author contributions — author completion required</w:t>
      </w:r>
    </w:p>
    <w:p>
      <w:pPr/>
      <w:r>
        <w:rPr>
          <w:rFonts w:ascii="Times New Roman" w:hAnsi="Times New Roman"/>
          <w:color w:val="000000"/>
          <w:sz w:val="24"/>
        </w:rPr>
        <w:t>Use CRediT roles and confirm every assignment:</w:t>
      </w:r>
    </w:p>
    <w:p>
      <w:pPr>
        <w:pStyle w:val="ListBullet"/>
        <w:spacing w:after="0" w:line="480" w:lineRule="auto"/>
      </w:pPr>
      <w:r>
        <w:rPr>
          <w:rFonts w:ascii="Times New Roman" w:hAnsi="Times New Roman"/>
          <w:color w:val="000000"/>
          <w:sz w:val="24"/>
        </w:rPr>
        <w:t>Conceptualization: [INSERT]</w:t>
      </w:r>
    </w:p>
    <w:p>
      <w:pPr>
        <w:pStyle w:val="ListBullet"/>
        <w:spacing w:after="0" w:line="480" w:lineRule="auto"/>
      </w:pPr>
      <w:r>
        <w:rPr>
          <w:rFonts w:ascii="Times New Roman" w:hAnsi="Times New Roman"/>
          <w:color w:val="000000"/>
          <w:sz w:val="24"/>
        </w:rPr>
        <w:t>Data curation: [INSERT]</w:t>
      </w:r>
    </w:p>
    <w:p>
      <w:pPr>
        <w:pStyle w:val="ListBullet"/>
        <w:spacing w:after="0" w:line="480" w:lineRule="auto"/>
      </w:pPr>
      <w:r>
        <w:rPr>
          <w:rFonts w:ascii="Times New Roman" w:hAnsi="Times New Roman"/>
          <w:color w:val="000000"/>
          <w:sz w:val="24"/>
        </w:rPr>
        <w:t>Formal analysis: [INSERT]</w:t>
      </w:r>
    </w:p>
    <w:p>
      <w:pPr>
        <w:pStyle w:val="ListBullet"/>
        <w:spacing w:after="0" w:line="480" w:lineRule="auto"/>
      </w:pPr>
      <w:r>
        <w:rPr>
          <w:rFonts w:ascii="Times New Roman" w:hAnsi="Times New Roman"/>
          <w:color w:val="000000"/>
          <w:sz w:val="24"/>
        </w:rPr>
        <w:t>Investigation: [INSERT]</w:t>
      </w:r>
    </w:p>
    <w:p>
      <w:pPr>
        <w:pStyle w:val="ListBullet"/>
        <w:spacing w:after="0" w:line="480" w:lineRule="auto"/>
      </w:pPr>
      <w:r>
        <w:rPr>
          <w:rFonts w:ascii="Times New Roman" w:hAnsi="Times New Roman"/>
          <w:color w:val="000000"/>
          <w:sz w:val="24"/>
        </w:rPr>
        <w:t>Methodology: [INSERT]</w:t>
      </w:r>
    </w:p>
    <w:p>
      <w:pPr>
        <w:pStyle w:val="ListBullet"/>
        <w:spacing w:after="0" w:line="480" w:lineRule="auto"/>
      </w:pPr>
      <w:r>
        <w:rPr>
          <w:rFonts w:ascii="Times New Roman" w:hAnsi="Times New Roman"/>
          <w:color w:val="000000"/>
          <w:sz w:val="24"/>
        </w:rPr>
        <w:t>Software: [INSERT]</w:t>
      </w:r>
    </w:p>
    <w:p>
      <w:pPr>
        <w:pStyle w:val="ListBullet"/>
        <w:spacing w:after="0" w:line="480" w:lineRule="auto"/>
      </w:pPr>
      <w:r>
        <w:rPr>
          <w:rFonts w:ascii="Times New Roman" w:hAnsi="Times New Roman"/>
          <w:color w:val="000000"/>
          <w:sz w:val="24"/>
        </w:rPr>
        <w:t>Supervision: [INSERT]</w:t>
      </w:r>
    </w:p>
    <w:p>
      <w:pPr>
        <w:pStyle w:val="ListBullet"/>
        <w:spacing w:after="0" w:line="480" w:lineRule="auto"/>
      </w:pPr>
      <w:r>
        <w:rPr>
          <w:rFonts w:ascii="Times New Roman" w:hAnsi="Times New Roman"/>
          <w:color w:val="000000"/>
          <w:sz w:val="24"/>
        </w:rPr>
        <w:t>Validation: [INSERT]</w:t>
      </w:r>
    </w:p>
    <w:p>
      <w:pPr>
        <w:pStyle w:val="ListBullet"/>
        <w:spacing w:after="0" w:line="480" w:lineRule="auto"/>
      </w:pPr>
      <w:r>
        <w:rPr>
          <w:rFonts w:ascii="Times New Roman" w:hAnsi="Times New Roman"/>
          <w:color w:val="000000"/>
          <w:sz w:val="24"/>
        </w:rPr>
        <w:t>Visualization: [INSERT]</w:t>
      </w:r>
    </w:p>
    <w:p>
      <w:pPr>
        <w:pStyle w:val="ListBullet"/>
        <w:spacing w:after="0" w:line="480" w:lineRule="auto"/>
      </w:pPr>
      <w:r>
        <w:rPr>
          <w:rFonts w:ascii="Times New Roman" w:hAnsi="Times New Roman"/>
          <w:color w:val="000000"/>
          <w:sz w:val="24"/>
        </w:rPr>
        <w:t>Writing — original draft: [INSERT]</w:t>
      </w:r>
    </w:p>
    <w:p>
      <w:pPr>
        <w:pStyle w:val="ListBullet"/>
        <w:spacing w:after="0" w:line="480" w:lineRule="auto"/>
      </w:pPr>
      <w:r>
        <w:rPr>
          <w:rFonts w:ascii="Times New Roman" w:hAnsi="Times New Roman"/>
          <w:color w:val="000000"/>
          <w:sz w:val="24"/>
        </w:rPr>
        <w:t>Writing — review and editing: [INSERT]</w:t>
      </w:r>
    </w:p>
    <w:p>
      <w:pPr>
        <w:pStyle w:val="Heading2"/>
      </w:pPr>
      <w:r>
        <w:t>Acknowledgements — author completion required</w:t>
      </w:r>
    </w:p>
    <w:p>
      <w:pPr/>
      <w:r>
        <w:rPr>
          <w:rFonts w:ascii="Times New Roman" w:hAnsi="Times New Roman"/>
          <w:color w:val="000000"/>
          <w:sz w:val="24"/>
        </w:rPr>
        <w:t>[INSERT PEOPLE, INSTITUTIONS, PERMISSIONS AND NON-AUTHOR CONTRIBUTIONS. REMOVE IF NONE.]</w:t>
      </w:r>
    </w:p>
    <w:p>
      <w:pPr>
        <w:pStyle w:val="Heading2"/>
      </w:pPr>
      <w:r>
        <w:t>Funding — author completion required</w:t>
      </w:r>
    </w:p>
    <w:p>
      <w:pPr/>
      <w:r>
        <w:rPr>
          <w:rFonts w:ascii="Times New Roman" w:hAnsi="Times New Roman"/>
          <w:color w:val="000000"/>
          <w:sz w:val="24"/>
        </w:rPr>
        <w:t>[INSERT FUNDER NAMES AND GRANT NUMBERS, OR STATE: “This research received no specific grant from any funding agency in the public, commercial or not-for-profit sectors.”]</w:t>
      </w:r>
    </w:p>
    <w:p>
      <w:pPr>
        <w:pStyle w:val="Heading2"/>
      </w:pPr>
      <w:r>
        <w:t>Conflict of interest — author confirmation required</w:t>
      </w:r>
    </w:p>
    <w:p>
      <w:pPr/>
      <w:r>
        <w:rPr>
          <w:rFonts w:ascii="Times New Roman" w:hAnsi="Times New Roman"/>
          <w:color w:val="000000"/>
          <w:sz w:val="24"/>
        </w:rPr>
        <w:t>[CONFIRM OR REPLACE: “The authors declare no conflicts of interest.”]</w:t>
      </w:r>
    </w:p>
    <w:p>
      <w:pPr>
        <w:pStyle w:val="Heading2"/>
      </w:pPr>
      <w:r>
        <w:t>Data availability</w:t>
      </w:r>
    </w:p>
    <w:p>
      <w:pPr/>
      <w:r>
        <w:rPr>
          <w:rFonts w:ascii="Times New Roman" w:hAnsi="Times New Roman"/>
          <w:color w:val="000000"/>
          <w:sz w:val="24"/>
        </w:rPr>
        <w:t>All derived evidence tables, analysis contracts, scripts, validation tests and frozen result artifacts supporting this study are versioned in the EAzami repository. The submission commit and public persistent archive identifier will be inserted here before revision at the latest: [INSERT PUBLIC REPOSITORY URL, COMMIT SHA AND DOI/ACCESSION]. Source image records remain subject to their original licences and are represented in the analysis by derived measurements and provenance metadata; no protected or non-redistributable image is republished. Raw phylogenomic reads remain available from their original public accessions cited by the source study.</w:t>
      </w:r>
    </w:p>
    <w:p>
      <w:pPr>
        <w:pStyle w:val="Heading2"/>
      </w:pPr>
      <w:r>
        <w:t>Ethics statement</w:t>
      </w:r>
    </w:p>
    <w:p>
      <w:pPr/>
      <w:r>
        <w:rPr>
          <w:rFonts w:ascii="Times New Roman" w:hAnsi="Times New Roman"/>
          <w:color w:val="000000"/>
          <w:sz w:val="24"/>
        </w:rPr>
        <w:t>This study analyses public phylogenomic data, botanical authority records and derived measurements from publicly available images. It involved no experiments on humans or vertebrate animals and no new destructive collection or manipulation of protected plants. [AUTHORS: CONFIRM WHETHER ANY INSTITUTIONAL, ACCESS OR FIELD PERMISSIONS REQUIRE DISCLOSURE; OTHERWISE RETAIN THIS STATEMENT.]</w:t>
      </w:r>
    </w:p>
    <w:p>
      <w:pPr>
        <w:pStyle w:val="Heading2"/>
      </w:pPr>
      <w:r>
        <w:t>Generative-AI disclosure</w:t>
      </w:r>
    </w:p>
    <w:p>
      <w:pPr/>
      <w:r>
        <w:rPr>
          <w:rFonts w:ascii="Times New Roman" w:hAnsi="Times New Roman"/>
          <w:color w:val="000000"/>
          <w:sz w:val="24"/>
        </w:rPr>
        <w:t>Generative AI assisted with code and prose development. All outputs were reviewed by the authors against primary sources, frozen analytical contracts and machine-readable results. AI tools did not determine botanical states, alter predeclared decisions or receive authorship.</w:t>
      </w:r>
    </w:p>
    <w:p>
      <w:pPr>
        <w:pStyle w:val="Heading2"/>
      </w:pPr>
      <w:r>
        <w:t>Double-anonymous submission check</w:t>
      </w:r>
    </w:p>
    <w:p>
      <w:pPr>
        <w:pStyle w:val="ListBullet"/>
      </w:pPr>
      <w:r>
        <w:rPr>
          <w:rFonts w:ascii="Times New Roman" w:hAnsi="Times New Roman"/>
          <w:color w:val="000000"/>
          <w:sz w:val="24"/>
        </w:rPr>
        <w:t>Pending: author names absent from main manuscript and file properties;</w:t>
      </w:r>
    </w:p>
    <w:p>
      <w:pPr>
        <w:pStyle w:val="ListBullet"/>
      </w:pPr>
      <w:r>
        <w:rPr>
          <w:rFonts w:ascii="Times New Roman" w:hAnsi="Times New Roman"/>
          <w:color w:val="000000"/>
          <w:sz w:val="24"/>
        </w:rPr>
        <w:t>Pending: acknowledgements, funding, conflicts, data availability and ethics appear only on this title page;</w:t>
      </w:r>
    </w:p>
    <w:p>
      <w:pPr>
        <w:pStyle w:val="ListBullet"/>
      </w:pPr>
      <w:r>
        <w:rPr>
          <w:rFonts w:ascii="Times New Roman" w:hAnsi="Times New Roman"/>
          <w:color w:val="000000"/>
          <w:sz w:val="24"/>
        </w:rPr>
        <w:t>Pending: repository wording in the main manuscript does not identify the authors;</w:t>
      </w:r>
    </w:p>
    <w:p>
      <w:pPr>
        <w:pStyle w:val="ListBullet"/>
      </w:pPr>
      <w:r>
        <w:rPr>
          <w:rFonts w:ascii="Times New Roman" w:hAnsi="Times New Roman"/>
          <w:color w:val="000000"/>
          <w:sz w:val="24"/>
        </w:rPr>
        <w:t>Pending: self-citations use neutral third-person wording;</w:t>
      </w:r>
    </w:p>
    <w:p>
      <w:pPr>
        <w:pStyle w:val="ListBullet"/>
      </w:pPr>
      <w:r>
        <w:rPr>
          <w:rFonts w:ascii="Times New Roman" w:hAnsi="Times New Roman"/>
          <w:color w:val="000000"/>
          <w:sz w:val="24"/>
        </w:rPr>
        <w:t>Pending: tracked changes, comments and document metadata are removed from the submission copy.</w:t>
      </w:r>
    </w:p>
    <w:sectPr>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555555"/>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pPr>
    <w:rPr>
      <w:rFonts w:ascii="Times New Roman" w:hAnsi="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Cirsium; phenotypic integration; phylogenetic history</cp:keywords>
  <dc:description>Double-anonymous JEB submission package</dc:description>
  <cp:lastModifiedBy/>
  <cp:revision>1</cp:revision>
  <dcterms:created xsi:type="dcterms:W3CDTF">2013-12-23T23:15:00Z</dcterms:created>
  <dcterms:modified xsi:type="dcterms:W3CDTF">2013-12-23T23:15:00Z</dcterms:modified>
  <cp:category/>
</cp:coreProperties>
</file>