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Global continuous phenomics reveals trait- and scale-specific environmental geography of thistle capitula</w:t>
      </w:r>
    </w:p>
    <w:p>
      <w:pPr>
        <w:jc w:val="center"/>
      </w:pPr>
      <w:r>
        <w:rPr>
          <w:rFonts w:ascii="Times New Roman" w:hAnsi="Times New Roman" w:eastAsia="Times New Roman"/>
          <w:i/>
          <w:sz w:val="20"/>
        </w:rPr>
        <w:t>Blinded submission candidate — scientific HOLD retained</w:t>
      </w:r>
    </w:p>
    <w:p>
      <w:r>
        <w:br w:type="page"/>
      </w:r>
    </w:p>
    <w:p>
      <w:pPr>
        <w:pStyle w:val="Heading1"/>
      </w:pPr>
      <w:r>
        <w:t>Abstract</w:t>
      </w:r>
    </w:p>
    <w:p>
      <w:pPr>
        <w:pStyle w:val="Heading2"/>
      </w:pPr>
      <w:r>
        <w:t>Aim</w:t>
      </w:r>
    </w:p>
    <w:p>
      <w:r>
        <w:rPr>
          <w:rFonts w:ascii="Times New Roman" w:hAnsi="Times New Roman" w:eastAsia="Times New Roman"/>
          <w:sz w:val="23"/>
        </w:rPr>
        <w:t>To test whether public photographs can recover repeated continuous capitulum phenotypes that taxon means compress, identify trait- and scale-specific environmental associations, and determine whether robust candidates align with independent functional ecology.</w:t>
      </w:r>
    </w:p>
    <w:p>
      <w:pPr>
        <w:pStyle w:val="Heading2"/>
      </w:pPr>
      <w:r>
        <w:t>Location</w:t>
      </w:r>
    </w:p>
    <w:p>
      <w:r>
        <w:rPr>
          <w:rFonts w:ascii="Times New Roman" w:hAnsi="Times New Roman" w:eastAsia="Times New Roman"/>
          <w:sz w:val="23"/>
        </w:rPr>
        <w:t>Global.</w:t>
      </w:r>
    </w:p>
    <w:p>
      <w:pPr>
        <w:pStyle w:val="Heading2"/>
      </w:pPr>
      <w:r>
        <w:t>Time period</w:t>
      </w:r>
    </w:p>
    <w:p>
      <w:r>
        <w:rPr>
          <w:rFonts w:ascii="Times New Roman" w:hAnsi="Times New Roman" w:eastAsia="Times New Roman"/>
          <w:sz w:val="23"/>
        </w:rPr>
        <w:t>Observations dated 1985–2026; climate normals for 1981–2010.</w:t>
      </w:r>
    </w:p>
    <w:p>
      <w:pPr>
        <w:pStyle w:val="Heading2"/>
      </w:pPr>
      <w:r>
        <w:t>Major taxa studied</w:t>
      </w:r>
    </w:p>
    <w:p>
      <w:r>
        <w:rPr>
          <w:rFonts w:ascii="Times New Roman" w:hAnsi="Times New Roman" w:eastAsia="Times New Roman"/>
          <w:sz w:val="23"/>
        </w:rPr>
        <w:t xml:space="preserve">Source-assigned </w:t>
      </w:r>
      <w:r>
        <w:rPr>
          <w:rFonts w:ascii="Times New Roman" w:hAnsi="Times New Roman" w:eastAsia="Times New Roman"/>
          <w:i/>
          <w:sz w:val="23"/>
        </w:rPr>
        <w:t>Cirsium</w:t>
      </w:r>
      <w:r>
        <w:rPr>
          <w:rFonts w:ascii="Times New Roman" w:hAnsi="Times New Roman" w:eastAsia="Times New Roman"/>
          <w:sz w:val="23"/>
        </w:rPr>
        <w:t xml:space="preserve"> and allied Cardueae, used as a replicated-radiation model system.</w:t>
      </w:r>
    </w:p>
    <w:p>
      <w:pPr>
        <w:pStyle w:val="Heading2"/>
      </w:pPr>
      <w:r>
        <w:t>Methods</w:t>
      </w:r>
    </w:p>
    <w:p>
      <w:r>
        <w:rPr>
          <w:rFonts w:ascii="Times New Roman" w:hAnsi="Times New Roman" w:eastAsia="Times New Roman"/>
          <w:sz w:val="23"/>
        </w:rPr>
        <w:t>An object detector and deterministic image functions measured a frozen 27-endpoint contract spanning orientation, visible colour, outline and finer geometry in 46,276 spatially thinned observations from 259 taxa; 22 endpoints were measured and five remained explicitly unexecuted. Within- and among-taxon models tested nine predictors in six predeclared blocks. Global multiplicity, sampling-composition, broad-space, residual-spatial and 52-tree historical-placement gates evaluated robustness. Complete-18 analyses assessed morphospace and trait organization.</w:t>
      </w:r>
    </w:p>
    <w:p>
      <w:pPr>
        <w:pStyle w:val="Heading2"/>
      </w:pPr>
      <w:r>
        <w:t>Results</w:t>
      </w:r>
    </w:p>
    <w:p>
      <w:r>
        <w:rPr>
          <w:rFonts w:ascii="Times New Roman" w:hAnsi="Times New Roman" w:eastAsia="Times New Roman"/>
          <w:sz w:val="23"/>
        </w:rPr>
        <w:t>Taxon means compressed 81.4–98.6% of raw visible variation and 28.7–58.5% after equalizing replication. Among 234 endpoint-gradient rows, seven were supported at both scales, 18 within taxa only, three among taxa only, 152 at neither scale and 54 were not comparable. Two among-taxon patterns—lower chroma with higher shortwave radiation and a larger image-referenced orientation angle with higher annual precipitation—passed every sequential gate. The 18-endpoint morphospace remained multidimensional: three principal components explained 42.3%, and within- and among-taxon association geometries were only partly aligned (Spearman = 0.3663).</w:t>
      </w:r>
    </w:p>
    <w:p>
      <w:pPr>
        <w:pStyle w:val="Heading2"/>
      </w:pPr>
      <w:r>
        <w:t>Main conclusions</w:t>
      </w:r>
    </w:p>
    <w:p>
      <w:r>
        <w:rPr>
          <w:rFonts w:ascii="Times New Roman" w:hAnsi="Times New Roman" w:eastAsia="Times New Roman"/>
          <w:sz w:val="23"/>
        </w:rPr>
        <w:t>Methodologically, public photographs preserve repeated, coordinate-bearing phenotype distributions that categories and taxon means lose. Ecologically, environmental organization is trait- and scale-dependent, and the two retained patterns agree with independent evidence for radiation-responsive floral pigmentation and protective downward floral presentation. Their robustness makes them priority adaptive-pattern candidates, not demonstrations of pigment mediation, gravity-referenced orientation, mechanism, selection or adaptation.</w:t>
      </w:r>
    </w:p>
    <w:p>
      <w:pPr>
        <w:pStyle w:val="Heading1"/>
        <w:numPr>
          <w:ilvl w:val="0"/>
          <w:numId w:val="10"/>
        </w:numPr>
      </w:pPr>
      <w:r>
        <w:t>Introduction</w:t>
      </w:r>
    </w:p>
    <w:p>
      <w:r>
        <w:rPr>
          <w:rFonts w:ascii="Times New Roman" w:hAnsi="Times New Roman" w:eastAsia="Times New Roman"/>
          <w:sz w:val="23"/>
        </w:rPr>
        <w:t>Comparative trait ecology links organismal attributes to environmental filtering, species interactions and ecosystem functioning, but broad syntheses often represent each species by one or a few characteristic values. This simplification is useful when measurements are sparse, yet it can conceal variation among populations and individuals that affects niche breadth, interaction strengths and coexistence (Messier et al. 2010; Albert et al. 2011; Bolnick et al. 2011; Violle et al. 2012). Intraspecific variation can constitute a substantial share of community-level plant trait variation (Siefert et al. 2015). Global resources such as TRY and BIEN have transformed cross-species ecology (Kattge et al. 2011, 2020; Maitner et al. 2018), but their broad-scale utility necessarily relies heavily on taxon-level summaries and unevenly replicated measurements. A complementary challenge is therefore to recover the geographic distribution of phenotype itself rather than only a representative value for each species.</w:t>
      </w:r>
    </w:p>
    <w:p>
      <w:r>
        <w:rPr>
          <w:rFonts w:ascii="Times New Roman" w:hAnsi="Times New Roman" w:eastAsia="Times New Roman"/>
          <w:sz w:val="23"/>
        </w:rPr>
        <w:t>A second simplification is categorical description. Many conspicuous plant characters are recorded as states—upright versus nodding, pale versus pigmented, globose versus elongate, spiny versus weakly armed—even when the underlying phenotype varies continuously. Categories are valuable for taxonomy and identification, but they discard distances within and between states and can obscure spatial variation within a named taxon. Moving from categories to explicitly defined numerical traits makes it possible to ask not only which forms occur, but how much phenotype varies, where that variation occurs and whether different components of morphology occupy different environmental spaces.</w:t>
      </w:r>
    </w:p>
    <w:p>
      <w:r>
        <w:rPr>
          <w:rFonts w:ascii="Times New Roman" w:hAnsi="Times New Roman" w:eastAsia="Times New Roman"/>
          <w:sz w:val="23"/>
        </w:rPr>
        <w:t>Public biodiversity photographs provide an unusually large source of repeated observations for this purpose. Computer-vision studies have demonstrated detection and taxonomic recognition in heterogeneous citizen-science imagery (Van Horn et al. 2018; Wäldchen &amp; Mäder 2018; Rzanny et al. 2019), and multimodal methods are beginning to infer continuous plant traits (Sharma et al. 2026). If each assessable structure can instead be converted into a numerical phenotype—an angle, colour coordinate, outline statistic or contour metric—photographs can become a distributed phenotypic sampling network. Their value is then not simply the number of species represented, but the ability to retain repeated measurements across populations, regions and environmental gradients and thereby construct a quantitative geography of visible phenotype.</w:t>
      </w:r>
    </w:p>
    <w:p>
      <w:r>
        <w:rPr>
          <w:rFonts w:ascii="Times New Roman" w:hAnsi="Times New Roman" w:eastAsia="Times New Roman"/>
          <w:sz w:val="23"/>
        </w:rPr>
        <w:t>This opportunity is inseparable from sampling and measurement bias. Citizen-science records reflect observer behaviour, accessibility and taxonomic preference as well as organism occurrence (Troudet et al. 2017; Di Cecco et al. 2021). Illumination, camera processing, occlusion and viewpoint can alter image-derived colour, orientation and contour measurements. An unassessable photograph is not evidence that a trait is biologically absent. A defensible image-phenomics workflow must therefore preserve trait-specific missingness, measurement provenance and the nesting of heads within photographs, and must interpret outputs as visible image phenotypes rather than error-free biological measurements. These limitations constrain biological interpretation, but they do not remove the descriptive value of measuring phenotype continuously when uncertainty and assessability are explicit.</w:t>
      </w:r>
    </w:p>
    <w:p>
      <w:r>
        <w:rPr>
          <w:rFonts w:ascii="Times New Roman" w:hAnsi="Times New Roman" w:eastAsia="Times New Roman"/>
          <w:sz w:val="23"/>
        </w:rPr>
        <w:t>Trait–environment associations must also be separated by biological scale. A relationship can arise because observations assigned to the same taxon vary across space, because taxa with different median phenotypes occupy different environments, or because both traits and environments reflect shared history. These are complementary descriptions of phenotypic geography, not interchangeable causal tests. Within-taxon analyses isolate spatial covariation after removing time-invariant taxon differences, whereas among-taxon analyses describe environmental sorting of taxon-level phenotypes and require additional attention to phylogenetic non-independence and uncertain placement. A within-taxon gradient is not automatically the small-scale version of taxon turnover, and an among-taxon association cannot be read backwards as plasticity.</w:t>
      </w:r>
    </w:p>
    <w:p>
      <w:r>
        <w:rPr>
          <w:rFonts w:ascii="Times New Roman" w:hAnsi="Times New Roman" w:eastAsia="Times New Roman"/>
          <w:sz w:val="23"/>
        </w:rPr>
        <w:t>A further challenge arises when several measurements belong to one complex reproductive structure. The Asteraceae capitulum is a flower-like pseudanthium in which orientation, visible corolla traits, gross outline and involucral architecture are expressed together. Continuous decomposition is valuable precisely because those components need not share the same geography or environmental gradient. A final whole-capitulum synthesis can test whether the endpoints are partly organized, but it must not erase the trait-specific patterns by forcing them into one syndrome. Floral integration theory motivates partial organization among subsets of traits (Diggle 2014); whether that organization is similar within and among taxa remains a secondary empirical question rather than the starting unit of inference.</w:t>
      </w:r>
    </w:p>
    <w:p>
      <w:r>
        <w:rPr>
          <w:rFonts w:ascii="Times New Roman" w:hAnsi="Times New Roman" w:eastAsia="Times New Roman"/>
          <w:sz w:val="23"/>
        </w:rPr>
        <w:t>We use thistles as a comparative model system rather than because the biological objective is to explain one genus. The Carduus–Cirsium group combines a conspicuous, repeatedly photographed capitulum with unusually large visible disparity in orientation, colour, outline and involucral architecture, so multiple phenotype dimensions can be measured on the same reproductive structure. More importantly, its diversity includes geographically replicated rapid radiations rather than one single lineage-specific diversification event. Genus-wide phylogenomics identifies separate rapid Pleistocene radiations after dispersal into Japan and North America, with geographic isolation and ecological specialization implicated in their diversification (Moreyra et al. 2025). North American Cirsium has independently been described as a rapid continent-wide radiation in which precipitation and semiaridity were associated with diversification dynamics (Siniscalchi et al. 2023). The Japanese radiation likewise followed an early-Pleistocene colonization and generated extensive regional endemism over a short evolutionary interval. These results do not by themselves establish that every regional radiation is an adaptive radiation. They do, however, make thistles a strong stress test for a broader question: whether repeated phenotypic diversification across distinct regional lineages is compressed when complex morphology is reduced to categorical states or one taxon mean, and whether its present environmental geography is repeated or scale-specific.</w:t>
      </w:r>
    </w:p>
    <w:p>
      <w:r>
        <w:rPr>
          <w:rFonts w:ascii="Times New Roman" w:hAnsi="Times New Roman" w:eastAsia="Times New Roman"/>
          <w:sz w:val="23"/>
        </w:rPr>
        <w:t xml:space="preserve">The same model system is useful because its component traits have plausible but non-identical ecological roles. Floral orientation can modify radiation load, temperature, precipitation exposure, pollinator presentation and reproductive performance (Chen et al. 2013; van der Kooi et al. 2019; Creux et al. 2021); summer-blooming Cardueae, including </w:t>
      </w:r>
      <w:r>
        <w:rPr>
          <w:rFonts w:ascii="Times New Roman" w:hAnsi="Times New Roman" w:eastAsia="Times New Roman"/>
          <w:i/>
          <w:sz w:val="23"/>
        </w:rPr>
        <w:t>Cirsium</w:t>
      </w:r>
      <w:r>
        <w:rPr>
          <w:rFonts w:ascii="Times New Roman" w:hAnsi="Times New Roman" w:eastAsia="Times New Roman"/>
          <w:sz w:val="23"/>
        </w:rPr>
        <w:t xml:space="preserve">, can maintain capitula below surrounding air temperature under hot conditions (Herrera 2025). Visible floral colour may integrate temperature, drought, soil chemistry, herbivory and pollinator responses (Narbona et al. 2018; Vaidya et al. 2018; Borghi et al. 2019; Dalrymple et al. 2020; Sullivan &amp; Koski 2021; Grossenbacher et al. 2026). In </w:t>
      </w:r>
      <w:r>
        <w:rPr>
          <w:rFonts w:ascii="Times New Roman" w:hAnsi="Times New Roman" w:eastAsia="Times New Roman"/>
          <w:i/>
          <w:sz w:val="23"/>
        </w:rPr>
        <w:t>Cirsium palustre</w:t>
      </w:r>
      <w:r>
        <w:rPr>
          <w:rFonts w:ascii="Times New Roman" w:hAnsi="Times New Roman" w:eastAsia="Times New Roman"/>
          <w:sz w:val="23"/>
        </w:rPr>
        <w:t xml:space="preserve">, purple, white and intermediate morphs varied with exposure, population size and year, and white flowers received preferential pollination in some local conditions (Mogford 1972, 1974a,b, 1978). White-flowered forms are also documented in East Asian </w:t>
      </w:r>
      <w:r>
        <w:rPr>
          <w:rFonts w:ascii="Times New Roman" w:hAnsi="Times New Roman" w:eastAsia="Times New Roman"/>
          <w:i/>
          <w:sz w:val="23"/>
        </w:rPr>
        <w:t>Cirsium</w:t>
      </w:r>
      <w:r>
        <w:rPr>
          <w:rFonts w:ascii="Times New Roman" w:hAnsi="Times New Roman" w:eastAsia="Times New Roman"/>
          <w:sz w:val="23"/>
        </w:rPr>
        <w:t xml:space="preserve"> (Kitamura 1932), but colour alone does not delimit evolutionary lineages in the Taiwanese </w:t>
      </w:r>
      <w:r>
        <w:rPr>
          <w:rFonts w:ascii="Times New Roman" w:hAnsi="Times New Roman" w:eastAsia="Times New Roman"/>
          <w:i/>
          <w:sz w:val="23"/>
        </w:rPr>
        <w:t>C. japonicum</w:t>
      </w:r>
      <w:r>
        <w:rPr>
          <w:rFonts w:ascii="Times New Roman" w:hAnsi="Times New Roman" w:eastAsia="Times New Roman"/>
          <w:sz w:val="23"/>
        </w:rPr>
        <w:t xml:space="preserve"> complex (Chang et al. 2026). Floral displays and scent can attract both pollinators and antagonists (Ohashi &amp; Yahara 1998, 2000, 2002; Theis 2006; Theis et al. 2007), while visually defensive structures need not have their assumed function (Hanley et al. 2007). These studies motivate candidate functional interpretations without determining in advance which phenotype dimensions should covary globally.</w:t>
      </w:r>
    </w:p>
    <w:p>
      <w:r>
        <w:rPr>
          <w:rFonts w:ascii="Times New Roman" w:hAnsi="Times New Roman" w:eastAsia="Times New Roman"/>
          <w:sz w:val="23"/>
        </w:rPr>
        <w:t>Environmental representation presents a related problem. A small set of bioclimatic variables provides a transparent low-dimensional baseline, whereas adding many correlated rasters can turn a biological analysis into a post hoc screen. Mean and seasonal temperature and precipitation summarize broad climate, but radiation, atmospheric drying, wind, growing-season water input and potential productivity may carry additional process-relevant information. The appropriate test is therefore not whether one added predictor happens to be significant, but whether a predeclared process representation adds multivariate information beyond the low-dimensional core, and whether that redundancy result differs within and among taxa.</w:t>
      </w:r>
    </w:p>
    <w:p>
      <w:r>
        <w:rPr>
          <w:rFonts w:ascii="Times New Roman" w:hAnsi="Times New Roman" w:eastAsia="Times New Roman"/>
          <w:sz w:val="23"/>
        </w:rPr>
        <w:t xml:space="preserve">Rapid diversification also makes historical control important without making history the endpoint of this study. New World </w:t>
      </w:r>
      <w:r>
        <w:rPr>
          <w:rFonts w:ascii="Times New Roman" w:hAnsi="Times New Roman" w:eastAsia="Times New Roman"/>
          <w:i/>
          <w:sz w:val="23"/>
        </w:rPr>
        <w:t>Cirsium</w:t>
      </w:r>
      <w:r>
        <w:rPr>
          <w:rFonts w:ascii="Times New Roman" w:hAnsi="Times New Roman" w:eastAsia="Times New Roman"/>
          <w:sz w:val="23"/>
        </w:rPr>
        <w:t xml:space="preserve"> exhibits high ecological diversity despite low nuclear-rDNA divergence (Kelch &amp; Baldwin 2003), while hybridization, polyploidy and incomplete sampling complicate a single bifurcating account of trait history (Ackerfield et al. 2020; Bureš et al. 2024; Chang et al. 2026). We therefore use available phylogenetic placements as a robustness gate for present among-taxon associations rather than as evidence that the observed spatial patterns identify repeated origins, adaptive radiation or convergence. Those historical questions require denser nuclear ancestry and explicit origin-class tests downstream.</w:t>
      </w:r>
    </w:p>
    <w:p>
      <w:r>
        <w:rPr>
          <w:rFonts w:ascii="Times New Roman" w:hAnsi="Times New Roman" w:eastAsia="Times New Roman"/>
          <w:sz w:val="23"/>
        </w:rPr>
        <w:t>We therefore developed a global public-image phenomics workflow whose first goal is descriptive but quantitatively explicit: to replace coarse state assignments and single taxon means with repeated continuous measurements of visible capitulum phenotype. Object detection localizes visible capitula, deterministic functions quantify orientation, visible corolla colour and outline, and suitable images provide additional continuous measurements of involucral and armature geometry when assessable. The resulting framework treats each trait as a defined numerical variable with its own image requirements and failure state rather than forcing all photographs into common categories.</w:t>
      </w:r>
    </w:p>
    <w:p>
      <w:r>
        <w:rPr>
          <w:rFonts w:ascii="Times New Roman" w:hAnsi="Times New Roman" w:eastAsia="Times New Roman"/>
          <w:sz w:val="23"/>
        </w:rPr>
        <w:t>The study was designed to deliver two linked contributions: a methodological test of whether public photographs can preserve repeated, spatially explicit continuous phenotypes, and an ecological test of whether those decomposed traits show robust, functionally interpretable environmental geography. We asked four linked questions. First, how much repeated visible phenotype diversity is lost when thistle taxa are represented by categories or one taxon mean? Second, which predeclared environmental gradients align with orientation, visible colour, outline and finer involucral or armature-like image geometry, including unsupported trait–gradient pairs? Third, at which level—head, photograph, within-taxon geography, among-taxon turnover or the sampled global domain—is each pattern expressed, and how robust is it to spatial, regional and incomplete historical controls? Fourth, after those components have been resolved, can they be summarized by one whole-capitulum syndrome, or is the phenotype multidimensional and only partially organized across scales?</w:t>
      </w:r>
    </w:p>
    <w:p>
      <w:r>
        <w:rPr>
          <w:rFonts w:ascii="Times New Roman" w:hAnsi="Times New Roman" w:eastAsia="Times New Roman"/>
          <w:sz w:val="23"/>
        </w:rPr>
        <w:t>These questions define the endpoint of the present study: a quantitative reconstruction of the current spatial state of continuous capitulum traits in which each trait definition, uncertainty, distribution, environmental association, scale class and robustness status remains explicit. Future work can use these bounded measurements to validate candidate functions and reconstruct evolutionary histories, but claims about independent origins, convergence or adaptive convergence require nuclear ancestry, explicit origin-class tests, comparable selection pressures and reproductive-fitness evidence. Neither spatial association nor repeated history alone establishes cause.</w:t>
      </w:r>
    </w:p>
    <w:p>
      <w:pPr>
        <w:pStyle w:val="Heading1"/>
        <w:numPr>
          <w:ilvl w:val="0"/>
          <w:numId w:val="10"/>
        </w:numPr>
      </w:pPr>
      <w:r>
        <w:t>Methods</w:t>
      </w:r>
    </w:p>
    <w:p>
      <w:pPr>
        <w:pStyle w:val="Heading2"/>
        <w:numPr>
          <w:ilvl w:val="1"/>
          <w:numId w:val="10"/>
        </w:numPr>
      </w:pPr>
      <w:r>
        <w:t>Study design and spatial cohort</w:t>
      </w:r>
    </w:p>
    <w:p>
      <w:r>
        <w:rPr>
          <w:rFonts w:ascii="Times New Roman" w:hAnsi="Times New Roman" w:eastAsia="Times New Roman"/>
          <w:sz w:val="23"/>
        </w:rPr>
        <w:t xml:space="preserve">We used public biodiversity photographs to quantify continuous capitulum phenotypes across source-assigned taxa of </w:t>
      </w:r>
      <w:r>
        <w:rPr>
          <w:rFonts w:ascii="Times New Roman" w:hAnsi="Times New Roman" w:eastAsia="Times New Roman"/>
          <w:i/>
          <w:sz w:val="23"/>
        </w:rPr>
        <w:t>Cirsium</w:t>
      </w:r>
      <w:r>
        <w:rPr>
          <w:rFonts w:ascii="Times New Roman" w:hAnsi="Times New Roman" w:eastAsia="Times New Roman"/>
          <w:sz w:val="23"/>
        </w:rPr>
        <w:t xml:space="preserve"> and allied Cardueae. Source names were retained as operational taxonomic units because the photograph records do not resolve a genus-wide taxonomy. The analysis unit was a coordinate-bearing observation rather than one species-level database row.</w:t>
      </w:r>
    </w:p>
    <w:p>
      <w:r>
        <w:rPr>
          <w:rFonts w:ascii="Times New Roman" w:hAnsi="Times New Roman" w:eastAsia="Times New Roman"/>
          <w:sz w:val="23"/>
        </w:rPr>
        <w:t>The exhaustive source stream contained 406,582 detector-positive observations from 286 taxa. Coordinate filtering retained 392,989 observations from 271 taxa, and a positional-accuracy threshold of 10 km retained 297,293 observations from 259 taxa. Before examining trait values, we retained one observation per taxon by 0.25-degree cell, yielding the frozen spatial cohort of 46,276 observations from 259 taxa. Dates ranged from 1985 to 2026. Missing or unassessable image measurements were never encoded as biological absence or zero (Figure 2; Table 1; Table S2).</w:t>
      </w:r>
    </w:p>
    <w:p>
      <w:pPr>
        <w:pStyle w:val="Heading2"/>
        <w:numPr>
          <w:ilvl w:val="1"/>
          <w:numId w:val="10"/>
        </w:numPr>
      </w:pPr>
      <w:r>
        <w:t>From photographs to a 27-endpoint continuous-trait contract</w:t>
      </w:r>
    </w:p>
    <w:p>
      <w:r>
        <w:rPr>
          <w:rFonts w:ascii="Times New Roman" w:hAnsi="Times New Roman" w:eastAsia="Times New Roman"/>
          <w:sz w:val="23"/>
        </w:rPr>
        <w:t>A single-class YOLO11n detector localized visible capitula at a confidence threshold of 0.25. Detection defined image regions of interest only; downstream traits were calculated with deterministic image functions. The category-free contract registered 27 continuous endpoints across orientation, visible corolla colour, gross outline, floral display, involucral architecture, armature-like projection geometry and validation-only surface-image modules.</w:t>
      </w:r>
    </w:p>
    <w:p>
      <w:r>
        <w:rPr>
          <w:rFonts w:ascii="Times New Roman" w:hAnsi="Times New Roman" w:eastAsia="Times New Roman"/>
          <w:sz w:val="23"/>
        </w:rPr>
        <w:t>Orientation was the signed head-axis angle relative to EXIF-oriented image vertical: 0 degrees upward, 90 degrees horizontal and 180 degrees downward. Image vertical is reproducible but is not a gravity measurement. Colour was represented in visible CIELAB space by lightness, chroma and the sine and cosine of circular hue. Outline and contour variables were dimensionless ratios or normalized geometry. Fine involucral, armature-like and surface endpoints were retained as image phenotypes and were not relabelled as botanical spine length, stiffness, hair density, glands or secretion.</w:t>
      </w:r>
    </w:p>
    <w:p>
      <w:r>
        <w:rPr>
          <w:rFonts w:ascii="Times New Roman" w:hAnsi="Times New Roman" w:eastAsia="Times New Roman"/>
          <w:sz w:val="23"/>
        </w:rPr>
        <w:t xml:space="preserve">The final artifact-backed run measured 22 of 27 endpoints. Eighteen of 19 inferential endpoints were available; </w:t>
      </w:r>
      <w:r>
        <w:rPr>
          <w:rFonts w:ascii="Consolas" w:hAnsi="Consolas" w:eastAsia="Consolas"/>
          <w:sz w:val="19"/>
        </w:rPr>
        <w:t>visible_floret_fraction</w:t>
      </w:r>
      <w:r>
        <w:rPr>
          <w:rFonts w:ascii="Times New Roman" w:hAnsi="Times New Roman" w:eastAsia="Times New Roman"/>
          <w:sz w:val="23"/>
        </w:rPr>
        <w:t xml:space="preserve"> and four descriptive colour-composition fractions remained explicit </w:t>
      </w:r>
      <w:r>
        <w:rPr>
          <w:rFonts w:ascii="Consolas" w:hAnsi="Consolas" w:eastAsia="Consolas"/>
          <w:sz w:val="19"/>
        </w:rPr>
        <w:t>unexecuted_no_measurement</w:t>
      </w:r>
      <w:r>
        <w:rPr>
          <w:rFonts w:ascii="Times New Roman" w:hAnsi="Times New Roman" w:eastAsia="Times New Roman"/>
          <w:sz w:val="23"/>
        </w:rPr>
        <w:t xml:space="preserve"> rows. Hue sine and cosine formed one joint circular inferential unit, producing 26 units from the 27 registered endpoints (Figure 1; Table S1).</w:t>
      </w:r>
    </w:p>
    <w:p>
      <w:pPr>
        <w:pStyle w:val="Heading2"/>
        <w:numPr>
          <w:ilvl w:val="1"/>
          <w:numId w:val="10"/>
        </w:numPr>
      </w:pPr>
      <w:r>
        <w:t>Trait geography and information retained below taxon means</w:t>
      </w:r>
    </w:p>
    <w:p>
      <w:r>
        <w:rPr>
          <w:rFonts w:ascii="Times New Roman" w:hAnsi="Times New Roman" w:eastAsia="Times New Roman"/>
          <w:sz w:val="23"/>
        </w:rPr>
        <w:t>For every endpoint we recorded observation and taxon counts, latitude and longitude limits, and occupancy in 5-degree geographic cells. To quantify information compressed by a one-row-per-taxon database, we decomposed total observation-level sums of squares into variation below and between source-assigned taxon means. Because abundant taxa could dominate the raw partition, we also ran 500 deterministic equal-replication resamples with two observations per eligible taxon. These quantities describe visible image-phenotype variation; they are not heritability, genetic variance or plasticity estimates (Figure 3; Table S3).</w:t>
      </w:r>
    </w:p>
    <w:p>
      <w:pPr>
        <w:pStyle w:val="Heading2"/>
        <w:numPr>
          <w:ilvl w:val="1"/>
          <w:numId w:val="10"/>
        </w:numPr>
      </w:pPr>
      <w:r>
        <w:t>Six predeclared environmental blocks</w:t>
      </w:r>
    </w:p>
    <w:p>
      <w:r>
        <w:rPr>
          <w:rFonts w:ascii="Times New Roman" w:hAnsi="Times New Roman" w:eastAsia="Times New Roman"/>
          <w:sz w:val="23"/>
        </w:rPr>
        <w:t>Nine predictors formed six biological hypothesis blocks. Thermal conditions comprised annual mean temperature and temperature seasonality (CHELSA BIO1 and BIO4). Hydric conditions comprised annual precipitation and precipitation seasonality (BIO12 and BIO15). Radiative and atmospheric exposure comprised mean shortwave radiation and vapour-pressure deficit. Mechanical exposure was represented by mean near-surface wind. Growing-season water input was represented by climatic growing-season precipitation, and resource/productivity by modelled potential net primary productivity. Growing-season precipitation was not taxon-specific flowering-season rainfall, and potential NPP was not measured local resource supply.</w:t>
      </w:r>
    </w:p>
    <w:p>
      <w:r>
        <w:rPr>
          <w:rFonts w:ascii="Times New Roman" w:hAnsi="Times New Roman" w:eastAsia="Times New Roman"/>
          <w:sz w:val="23"/>
        </w:rPr>
        <w:t>All predictors had to retain at least 98% coverage in the phenotype-blind spatial cohort. The nine-variable environmental table was constructed before endpoint-specific missingness filtering; no unavailable variable could be substituted after observing trait associations.</w:t>
      </w:r>
    </w:p>
    <w:p>
      <w:pPr>
        <w:pStyle w:val="Heading2"/>
        <w:numPr>
          <w:ilvl w:val="1"/>
          <w:numId w:val="10"/>
        </w:numPr>
      </w:pPr>
      <w:r>
        <w:t>Within- and among-taxon environmental associations</w:t>
      </w:r>
    </w:p>
    <w:p>
      <w:r>
        <w:rPr>
          <w:rFonts w:ascii="Times New Roman" w:hAnsi="Times New Roman" w:eastAsia="Times New Roman"/>
          <w:sz w:val="23"/>
        </w:rPr>
        <w:t>Within-taxon models used taxon-demeaned standardized traits and predictors, no intercept, and taxon-clustered standard errors. Eligibility required at least 100 observations, ten taxa and two observations per retained taxon. Joint hue used the magnitude and direction of its standardized sine and cosine coefficients under 9,999 permutations restricted within taxa.</w:t>
      </w:r>
    </w:p>
    <w:p>
      <w:r>
        <w:rPr>
          <w:rFonts w:ascii="Times New Roman" w:hAnsi="Times New Roman" w:eastAsia="Times New Roman"/>
          <w:sz w:val="23"/>
        </w:rPr>
        <w:t>Among-taxon models paired taxon trait medians with taxon environmental medians. The primary scope required at least five trait observations per taxon and at least 20 taxa; a separately corrected sensitivity required two observations. Linear endpoints used standardized univariate slopes and 9,999 taxon-label permutations. Joint hue used paired permutations of the sine and cosine slopes.</w:t>
      </w:r>
    </w:p>
    <w:p>
      <w:r>
        <w:rPr>
          <w:rFonts w:ascii="Times New Roman" w:hAnsi="Times New Roman" w:eastAsia="Times New Roman"/>
          <w:sz w:val="23"/>
        </w:rPr>
        <w:t>Benjamini-Hochberg correction formed one global family across all successful unit by predictor rows separately for within taxa, among-taxon minimum-five and among-taxon minimum-two scopes. Historical endpoint tiers did not split multiplicity or remove rows. Each primary minimum-five row was classified as supported at both scales, within taxa only, among taxa only, neither, or not comparable (Figure 4; Tables S4–S6).</w:t>
      </w:r>
    </w:p>
    <w:p>
      <w:pPr>
        <w:pStyle w:val="Heading2"/>
        <w:numPr>
          <w:ilvl w:val="1"/>
          <w:numId w:val="10"/>
        </w:numPr>
      </w:pPr>
      <w:r>
        <w:t>Sampling-composition sensitivity</w:t>
      </w:r>
    </w:p>
    <w:p>
      <w:r>
        <w:rPr>
          <w:rFonts w:ascii="Times New Roman" w:hAnsi="Times New Roman" w:eastAsia="Times New Roman"/>
          <w:sz w:val="23"/>
        </w:rPr>
        <w:t>Every globally FDR-supported row entered a separately frozen retrospective sensitivity; all atlas rows remained reported regardless of entry. Sampling perturbations were selected without using trait outcomes. Within-taxon rows were refitted with equal total weight per taxon. Both scales omitted each of the ten most observed taxa separately and the two most observed taxa jointly, omitted each of six broad geographic regions separately, and retained only observations explicitly classified as native by the frozen WCVP/TDWG join. Linear rows had to retain coefficient sign; circular rows had to remain within 90 degrees of the original coefficient vector. We reported direction and effect-magnitude stability only and calculated no post-selection P or q values (Figure 5; Table S7; Figure S2).</w:t>
      </w:r>
    </w:p>
    <w:p>
      <w:pPr>
        <w:pStyle w:val="Heading2"/>
        <w:numPr>
          <w:ilvl w:val="1"/>
          <w:numId w:val="10"/>
        </w:numPr>
      </w:pPr>
      <w:r>
        <w:t>Broad-space and historical-placement sensitivity</w:t>
      </w:r>
    </w:p>
    <w:p>
      <w:r>
        <w:rPr>
          <w:rFonts w:ascii="Times New Roman" w:hAnsi="Times New Roman" w:eastAsia="Times New Roman"/>
          <w:sz w:val="23"/>
        </w:rPr>
        <w:t>Globally FDR-supported rows were refitted with a second-order spherical-coordinate basis. Passage required a spatial permutation P below 0.05, preserved sign for a linear endpoint and residual eight-nearest-neighbour Moran P of at least 0.05. This was a broad geographic sensitivity, not removal of every spatial process.</w:t>
      </w:r>
    </w:p>
    <w:p>
      <w:r>
        <w:rPr>
          <w:rFonts w:ascii="Times New Roman" w:hAnsi="Times New Roman" w:eastAsia="Times New Roman"/>
          <w:sz w:val="23"/>
        </w:rPr>
        <w:t>Among-taxon rows passing the broad-space gate were then fitted by univariate Pagel-lambda PGLS on 52 audited dated-backbone placement trees: two deterministic scenarios and 50 randomized within-genus placements. A final candidate had to retain direction and P below 0.05 on every tree. Because only 54 historical-atlas taxa were direct backbone tips, this procedure is a placement sensitivity rather than a resolved species-tree correction (Figure 5; Table 2; Table S8; Figures S3-S4).</w:t>
      </w:r>
    </w:p>
    <w:p>
      <w:pPr>
        <w:pStyle w:val="Heading2"/>
        <w:numPr>
          <w:ilvl w:val="1"/>
          <w:numId w:val="10"/>
        </w:numPr>
      </w:pPr>
      <w:r>
        <w:t>Secondary whole-capitulum synthesis</w:t>
      </w:r>
    </w:p>
    <w:p>
      <w:r>
        <w:rPr>
          <w:rFonts w:ascii="Times New Roman" w:hAnsi="Times New Roman" w:eastAsia="Times New Roman"/>
          <w:sz w:val="23"/>
        </w:rPr>
        <w:t>After endpoint-level inference was complete, a secondary complete-18 analysis asked whether the measured traits reduced to one capitulum syndrome. Standardized taxon medians were analysed by principal components, and within- versus among-taxon association matrices were compared by measurement module. This synthesis did not select endpoints or alter the endpoint-level multiplicity families (Table S9).</w:t>
      </w:r>
    </w:p>
    <w:p>
      <w:pPr>
        <w:pStyle w:val="Heading2"/>
        <w:numPr>
          <w:ilvl w:val="1"/>
          <w:numId w:val="10"/>
        </w:numPr>
      </w:pPr>
      <w:r>
        <w:t>Claim boundary</w:t>
      </w:r>
    </w:p>
    <w:p>
      <w:r>
        <w:rPr>
          <w:rFonts w:ascii="Times New Roman" w:hAnsi="Times New Roman" w:eastAsia="Times New Roman"/>
          <w:sz w:val="23"/>
        </w:rPr>
        <w:t>The study is a retrospective exploratory analysis of visible image phenotypes and their present spatial associations. It does not identify plasticity, local adaptation, selection, causal environmental mechanisms, botanical identity of validation-only proxies, independent evolutionary origins or convergence. The two final rows are termed adaptive-pattern candidates under current sequential controls, not demonstrations of adaptation.</w:t>
      </w:r>
    </w:p>
    <w:p>
      <w:pPr>
        <w:pStyle w:val="Heading1"/>
        <w:numPr>
          <w:ilvl w:val="0"/>
          <w:numId w:val="10"/>
        </w:numPr>
      </w:pPr>
      <w:r>
        <w:t>Results</w:t>
      </w:r>
    </w:p>
    <w:p>
      <w:pPr>
        <w:pStyle w:val="Heading2"/>
        <w:numPr>
          <w:ilvl w:val="1"/>
          <w:numId w:val="10"/>
        </w:numPr>
      </w:pPr>
      <w:r>
        <w:t>Continuous photographs recovered variation hidden by taxon means</w:t>
      </w:r>
    </w:p>
    <w:p>
      <w:r>
        <w:rPr>
          <w:rFonts w:ascii="Times New Roman" w:hAnsi="Times New Roman" w:eastAsia="Times New Roman"/>
          <w:sz w:val="23"/>
        </w:rPr>
        <w:t>The frozen spatial cohort contained 46,276 observations from 259 source-assigned taxa. Twenty-two of 27 registered endpoints were measured, producing 374,255 analysis-eligible observation by endpoint values. Coverage ranged from 909 observations and 85 taxa for validation-only surface proxies to 40,510 observations and 253 taxa for visible CIELAB lightness and chroma. Measured endpoints occupied 190 to 431 five-degree cells (Figures 1–2; Tables S1–S2; Figure S1).</w:t>
      </w:r>
    </w:p>
    <w:p>
      <w:r>
        <w:rPr>
          <w:rFonts w:ascii="Times New Roman" w:hAnsi="Times New Roman" w:eastAsia="Times New Roman"/>
          <w:sz w:val="23"/>
        </w:rPr>
        <w:t>Across the 22 measured endpoints, 0.8137 to 0.9863 of raw observation-level variation occurred below source-assigned taxon means. The equal-replication median ranged from 0.2869 for hue sine to 0.5846 for basal taper ratio. Thus, even after limiting each eligible taxon to two observations, one taxon mean compressed 28.7–58.5% of visible variation, while the unbalanced observed sample compressed 81.4–98.6% (Figure 3; Table S3).</w:t>
      </w:r>
    </w:p>
    <w:p>
      <w:pPr>
        <w:pStyle w:val="Heading2"/>
        <w:numPr>
          <w:ilvl w:val="1"/>
          <w:numId w:val="10"/>
        </w:numPr>
      </w:pPr>
      <w:r>
        <w:t>Environmental associations were endpoint- and scale-specific</w:t>
      </w:r>
    </w:p>
    <w:p>
      <w:r>
        <w:rPr>
          <w:rFonts w:ascii="Times New Roman" w:hAnsi="Times New Roman" w:eastAsia="Times New Roman"/>
          <w:sz w:val="23"/>
        </w:rPr>
        <w:t>Eight predictors had complete coverage and wind had 99.989% coverage. The within-taxon atlas contained 189 executed tests and 45 explicit unexecuted rows; 26 executed rows passed the global FDR family. Supported rows occurred in all six blocks, including orientation with annual mean temperature, chroma with VPD, several involucral geometry endpoints with precipitation metrics, surface-image endpoints with temperature or growing-season precipitation, and joint hue across multiple gradients.</w:t>
      </w:r>
    </w:p>
    <w:p>
      <w:r>
        <w:rPr>
          <w:rFonts w:ascii="Times New Roman" w:hAnsi="Times New Roman" w:eastAsia="Times New Roman"/>
          <w:sz w:val="23"/>
        </w:rPr>
        <w:t>The primary among-taxon atlas contained 180 successful tests, 45 unexecuted rows and nine no-finite-variation rows. Ten rows passed its separate global FDR family. Linear associations comprised a larger orientation angle with annual precipitation (standardized effect 0.3044, q = 0.0210), a larger orientation angle with growing-season precipitation (0.2581, q = 0.0338), lower chroma with higher shortwave radiation (-0.3454, q = 0.0060), and greater bract projection-peak density with VPD (0.4437, q = 0.0468). Joint hue was associated with BIO1, BIO4, BIO15, radiation, wind and NPP. Seven rows repeated in the minimum-two sensitivity.</w:t>
      </w:r>
    </w:p>
    <w:p>
      <w:r>
        <w:rPr>
          <w:rFonts w:ascii="Times New Roman" w:hAnsi="Times New Roman" w:eastAsia="Times New Roman"/>
          <w:sz w:val="23"/>
        </w:rPr>
        <w:t>Across the complete 234-row primary scale grid, seven rows were supported at both scales, 18 within taxa only, three among taxa only, 152 at neither scale and 54 were not comparable. The three among-only rows were orientation with annual precipitation, orientation with growing-season precipitation and chroma with radiation. Most supported involucral and surface-proxy rows were within-taxon only (Figure 4; Tables S4–S6).</w:t>
      </w:r>
    </w:p>
    <w:p>
      <w:pPr>
        <w:pStyle w:val="Heading2"/>
        <w:numPr>
          <w:ilvl w:val="1"/>
          <w:numId w:val="10"/>
        </w:numPr>
      </w:pPr>
      <w:r>
        <w:t>Sampling was extensive but strongly uneven</w:t>
      </w:r>
    </w:p>
    <w:p>
      <w:r>
        <w:rPr>
          <w:rFonts w:ascii="Times New Roman" w:hAnsi="Times New Roman" w:eastAsia="Times New Roman"/>
          <w:sz w:val="23"/>
        </w:rPr>
        <w:t xml:space="preserve">Europe contributed 23,337 observations (50.43%) and North America 19,357 (41.83%); together they contributed 92.26%. The Northern Hemisphere contributed 94.91%. </w:t>
      </w:r>
      <w:r>
        <w:rPr>
          <w:rFonts w:ascii="Times New Roman" w:hAnsi="Times New Roman" w:eastAsia="Times New Roman"/>
          <w:i/>
          <w:sz w:val="23"/>
        </w:rPr>
        <w:t>Cirsium vulgare</w:t>
      </w:r>
      <w:r>
        <w:rPr>
          <w:rFonts w:ascii="Times New Roman" w:hAnsi="Times New Roman" w:eastAsia="Times New Roman"/>
          <w:sz w:val="23"/>
        </w:rPr>
        <w:t xml:space="preserve"> contributed 28.54%, </w:t>
      </w:r>
      <w:r>
        <w:rPr>
          <w:rFonts w:ascii="Times New Roman" w:hAnsi="Times New Roman" w:eastAsia="Times New Roman"/>
          <w:i/>
          <w:sz w:val="23"/>
        </w:rPr>
        <w:t>C. arvense</w:t>
      </w:r>
      <w:r>
        <w:rPr>
          <w:rFonts w:ascii="Times New Roman" w:hAnsi="Times New Roman" w:eastAsia="Times New Roman"/>
          <w:sz w:val="23"/>
        </w:rPr>
        <w:t xml:space="preserve"> 25.49% and the ten most observed taxa 79.93%. The taxon-level median was six observations; 51 of 259 taxa had one observation and 150 had fewer than ten.</w:t>
      </w:r>
    </w:p>
    <w:p>
      <w:r>
        <w:rPr>
          <w:rFonts w:ascii="Times New Roman" w:hAnsi="Times New Roman" w:eastAsia="Times New Roman"/>
          <w:sz w:val="23"/>
        </w:rPr>
        <w:t>All 674 declared sampling scenarios were evaluable. All ten selected among-taxon pairs retained direction in every applicable scenario. Sixteen of 26 selected within-taxon pairs retained direction throughout; ten reversed in at least one scenario. Four of the five within-taxon broad-space passes were also directionally stable throughout. Projection roughness with radiation reversed under equal taxon weighting and after jointly omitting the two dominant taxa (Table S7; Figure S2).</w:t>
      </w:r>
    </w:p>
    <w:p>
      <w:pPr>
        <w:pStyle w:val="Heading2"/>
        <w:numPr>
          <w:ilvl w:val="1"/>
          <w:numId w:val="10"/>
        </w:numPr>
      </w:pPr>
      <w:r>
        <w:t>Broad-space and historical gates retained two among-taxon candidates</w:t>
      </w:r>
    </w:p>
    <w:p>
      <w:r>
        <w:rPr>
          <w:rFonts w:ascii="Times New Roman" w:hAnsi="Times New Roman" w:eastAsia="Times New Roman"/>
          <w:sz w:val="23"/>
        </w:rPr>
        <w:t>Five within-taxon rows passed the broad-space gate: orientation-BIO1, chroma-VPD, involucre length/width-BIO15, projection roughness-radiation and surface high-frequency energy-BIO1. Their spatial standardized effects were 0.0265, -0.0421, 0.0602, -0.1392 and 0.1235, respectively. These rows describe within-taxon spatial covariation and were not treated as plasticity or local adaptation.</w:t>
      </w:r>
    </w:p>
    <w:p>
      <w:r>
        <w:rPr>
          <w:rFonts w:ascii="Times New Roman" w:hAnsi="Times New Roman" w:eastAsia="Times New Roman"/>
          <w:sz w:val="23"/>
        </w:rPr>
        <w:t>Two among-taxon rows passed the broad-space gate. Chroma decreased with radiation (spatial beta = -0.7124, spatial P = 0.001, residual Moran P = 0.217), and orientation angle increased with annual precipitation (spatial beta = 0.2861, spatial P = 0.017, residual Moran P = 0.082). Both retained direction in all 18 applicable sampling scenarios; their minimum effect-magnitude ratios were 0.615 and 0.781.</w:t>
      </w:r>
    </w:p>
    <w:p>
      <w:r>
        <w:rPr>
          <w:rFonts w:ascii="Times New Roman" w:hAnsi="Times New Roman" w:eastAsia="Times New Roman"/>
          <w:sz w:val="23"/>
        </w:rPr>
        <w:t>Both rows retained direction and P below 0.05 on all 52 historical-placement trees. Chroma-radiation PGLS beta was -0.3454 with P = 0.000024 and Pagel lambda = 0 throughout. Orientation-precipitation PGLS beta ranged from 0.3044 to 0.3045, P from 0.000201 to 0.000231 and lambda from 0 to 0.0537. They are therefore adaptive-pattern candidates under the current sequential controls, not evidence that an adaptive mechanism or independent origin has been demonstrated (Figure 5; Table 2; Table S8; Figure S4).</w:t>
      </w:r>
    </w:p>
    <w:p>
      <w:pPr>
        <w:pStyle w:val="Heading2"/>
        <w:numPr>
          <w:ilvl w:val="1"/>
          <w:numId w:val="10"/>
        </w:numPr>
      </w:pPr>
      <w:r>
        <w:t>Whole-capitulum synthesis did not collapse the trait atlas</w:t>
      </w:r>
    </w:p>
    <w:p>
      <w:r>
        <w:rPr>
          <w:rFonts w:ascii="Times New Roman" w:hAnsi="Times New Roman" w:eastAsia="Times New Roman"/>
          <w:sz w:val="23"/>
        </w:rPr>
        <w:t>The expanded 127-taxon by 18-endpoint morphospace remained multidimensional: the first three principal components explained 42.3% cumulatively. Measurement-module contrasts were modest, and the correspondence between within- and among-taxon association geometry was partial (Spearman = 0.3663). Whole-capitulum structure therefore summarized, but did not replace, the decomposed endpoint results (Table S9).</w:t>
      </w:r>
    </w:p>
    <w:p>
      <w:pPr>
        <w:pStyle w:val="Heading1"/>
        <w:numPr>
          <w:ilvl w:val="0"/>
          <w:numId w:val="10"/>
        </w:numPr>
      </w:pPr>
      <w:r>
        <w:t>Discussion</w:t>
      </w:r>
    </w:p>
    <w:p>
      <w:pPr>
        <w:pStyle w:val="Heading2"/>
        <w:numPr>
          <w:ilvl w:val="1"/>
          <w:numId w:val="10"/>
        </w:numPr>
      </w:pPr>
      <w:r>
        <w:t>A method for spatially explicit continuous phenomics</w:t>
      </w:r>
    </w:p>
    <w:p>
      <w:r>
        <w:rPr>
          <w:rFonts w:ascii="Times New Roman" w:hAnsi="Times New Roman" w:eastAsia="Times New Roman"/>
          <w:sz w:val="23"/>
        </w:rPr>
        <w:t>The first contribution is methodological: a change in what broad-scale trait data preserve. Instead of assigning one categorical state or mean to each taxon, public photographs yielded repeated numerical measurements with coordinates and endpoint-specific missingness. The raw and equal-replication partitions show that substantial visible phenotype information sits below taxon means. This information is unavailable to a species-mean database even when the database value itself is accurate.</w:t>
      </w:r>
    </w:p>
    <w:p>
      <w:r>
        <w:rPr>
          <w:rFonts w:ascii="Times New Roman" w:hAnsi="Times New Roman" w:eastAsia="Times New Roman"/>
          <w:sz w:val="23"/>
        </w:rPr>
        <w:t>The method is not merely an automated scoring device. It connects a declared image measurement, its assessability and uncertainty, repeated within-taxon distributions, mapped geographic support and an explicit within- versus among-taxon estimand. That connection makes it possible to separate a present within-taxon gradient from taxon turnover and to display unsupported rows without converting missing observations to trait absence.</w:t>
      </w:r>
    </w:p>
    <w:p>
      <w:pPr>
        <w:pStyle w:val="Heading2"/>
        <w:numPr>
          <w:ilvl w:val="1"/>
          <w:numId w:val="10"/>
        </w:numPr>
      </w:pPr>
      <w:r>
        <w:t>There is no single climate-associated capitulum syndrome</w:t>
      </w:r>
    </w:p>
    <w:p>
      <w:r>
        <w:rPr>
          <w:rFonts w:ascii="Times New Roman" w:hAnsi="Times New Roman" w:eastAsia="Times New Roman"/>
          <w:sz w:val="23"/>
        </w:rPr>
        <w:t>The 234-row scale grid rejects a scale-invariant whole-head response. Most supported involucral and surface-image associations occurred only within taxa, while orientation-precipitation, orientation-growing-season precipitation and chroma-radiation occurred only among taxa. Seven rows were supported at both scales, but most involved joint visible hue and several retained residual spatial structure. A coefficient at one biological scale therefore cannot be read automatically as the process operating at another.</w:t>
      </w:r>
    </w:p>
    <w:p>
      <w:r>
        <w:rPr>
          <w:rFonts w:ascii="Times New Roman" w:hAnsi="Times New Roman" w:eastAsia="Times New Roman"/>
          <w:sz w:val="23"/>
        </w:rPr>
        <w:t>The secondary 18-endpoint synthesis reinforces this conclusion. The first three principal components captured less than half of taxon-level variation, and within- and among-taxon association geometries were only partly aligned. A whole-capitulum summary is useful for describing partial organization, but it should not erase the endpoint-specific geography that made the result visible.</w:t>
      </w:r>
    </w:p>
    <w:p>
      <w:r>
        <w:rPr>
          <w:rFonts w:ascii="Times New Roman" w:hAnsi="Times New Roman" w:eastAsia="Times New Roman"/>
          <w:sz w:val="23"/>
        </w:rPr>
        <w:t>This multidimensionality matters especially because thistles contain geographically replicated rapid regional radiations rather than one isolated diversification event. Separate radiations in Japan and North America create a downstream opportunity to ask whether the same phenotype axes repeatedly diversify, whether different radiations explore different parts of capitulum trait space, and whether similar environments recruit the same or different trait combinations. The present analysis does not test those historical questions and therefore does not infer adaptive radiation from current geography. Its contribution is to define the continuous phenotype axes and scale-specific environmental patterns that such repeated-radiation tests would otherwise have to reconstruct from coarse taxonomic descriptions.</w:t>
      </w:r>
    </w:p>
    <w:p>
      <w:pPr>
        <w:pStyle w:val="Heading2"/>
        <w:numPr>
          <w:ilvl w:val="1"/>
          <w:numId w:val="10"/>
        </w:numPr>
      </w:pPr>
      <w:r>
        <w:t>The second contribution is ecological: two robust, functionally coherent patterns</w:t>
      </w:r>
    </w:p>
    <w:p>
      <w:r>
        <w:rPr>
          <w:rFonts w:ascii="Times New Roman" w:hAnsi="Times New Roman" w:eastAsia="Times New Roman"/>
          <w:sz w:val="23"/>
        </w:rPr>
        <w:t xml:space="preserve">Taxa from higher-radiation environments had lower photographed CIELAB corolla chroma. Independent experimental and geographic evidence places floral anthocyanin on a radiation-responsive colour axis: supplemental UV-B induced anthocyanin biosynthesis in rose petals, and </w:t>
      </w:r>
      <w:r>
        <w:rPr>
          <w:rFonts w:ascii="Times New Roman" w:hAnsi="Times New Roman" w:eastAsia="Times New Roman"/>
          <w:i/>
          <w:sz w:val="23"/>
        </w:rPr>
        <w:t>Clarkia unguiculata</w:t>
      </w:r>
      <w:r>
        <w:rPr>
          <w:rFonts w:ascii="Times New Roman" w:hAnsi="Times New Roman" w:eastAsia="Times New Roman"/>
          <w:sz w:val="23"/>
        </w:rPr>
        <w:t xml:space="preserve"> populations originating under higher solar UV had higher estimated floral anthocyanin concentrations (Hennayake et al. 2006; Peach et al. 2020). In black dahlia, increasing concentrations of specific anthocyanins reduced CIELAB C* after an initial rise, showing that low chroma can accompany high pigment concentration in a restricted, pigment- and pH-dependent state (Deguchi et al. 2016). Calibrated digital colour indices can also predict chemically measured anthocyanin in some reproductive tissues, making an image-to-pigment bridge empirically testable (del Valle et al. 2018). However, the present CIELAB chroma is an uncalibrated colour-space distance across taxa, not an anthocyanin assay or UV-reflectance measurement. Its negative coefficient cannot be translated directly into higher or lower pigment concentration. Calibrated visible and UV reflectance, petal chemistry or pathway expression, and common-garden radiation manipulation are required.</w:t>
      </w:r>
    </w:p>
    <w:p>
      <w:r>
        <w:rPr>
          <w:rFonts w:ascii="Times New Roman" w:hAnsi="Times New Roman" w:eastAsia="Times New Roman"/>
          <w:sz w:val="23"/>
        </w:rPr>
        <w:t xml:space="preserve">Taxa from wetter environments had a larger angle on the frozen 0-up, 90-horizontal, 180-down image scale, which is consistent with more downward presentation. Across a strong Andean precipitation gradient, genera with down-facing flowers increased toward wetter environments irrespective of pollination mode (Aizen 2003), closely matching the direction of the present geographic result. In the nodding Asteraceae </w:t>
      </w:r>
      <w:r>
        <w:rPr>
          <w:rFonts w:ascii="Times New Roman" w:hAnsi="Times New Roman" w:eastAsia="Times New Roman"/>
          <w:i/>
          <w:sz w:val="23"/>
        </w:rPr>
        <w:t>Cremanthodium campanulatum</w:t>
      </w:r>
      <w:r>
        <w:rPr>
          <w:rFonts w:ascii="Times New Roman" w:hAnsi="Times New Roman" w:eastAsia="Times New Roman"/>
          <w:sz w:val="23"/>
        </w:rPr>
        <w:t>, experimental water and UV-B exposure reduced pollen viability, and artificially erect capitula produced fewer achenes than naturally nodding capitula without a corresponding pollinator preference (Chen et al. 2013). This makes reproductive-tissue shielding from rain and radiation a functionally coherent interpretation of the observed precipitation-orientation direction. Yet EXIF image vertical is not gravity, and the present study did not measure flowering-period rain interception, pollen wetting, viability or fitness. Gravity-referenced three-dimensional orientation and experimental angle manipulation are required before a rain-protection mechanism can be claimed.</w:t>
      </w:r>
    </w:p>
    <w:p>
      <w:r>
        <w:rPr>
          <w:rFonts w:ascii="Times New Roman" w:hAnsi="Times New Roman" w:eastAsia="Times New Roman"/>
          <w:sz w:val="23"/>
        </w:rPr>
        <w:t>The agreement with independent functional ecology matters because both candidates also survived global multiplicity correction, every tested sampling-composition direction, broad-space refitting, residual spatial diagnostics and 52 historical-placement trees. Together, external functional coherence and internal robustness justify treating them as biologically structured candidate patterns rather than arbitrary significant survivors. These gates make the patterns difficult to explain by the particular tested sampling imbalance, broad spatial trend, residual spatial autocorrelation or within-genus grafting scenario. They do not establish pigment mediation, gravity-referenced orientation, heritability, selection, fitness advantage, causal environmental response or independent evolutionary origin.</w:t>
      </w:r>
    </w:p>
    <w:p>
      <w:pPr>
        <w:pStyle w:val="Heading2"/>
        <w:numPr>
          <w:ilvl w:val="1"/>
          <w:numId w:val="10"/>
        </w:numPr>
      </w:pPr>
      <w:r>
        <w:t>Uneven citizen-science sampling remains part of the result</w:t>
      </w:r>
    </w:p>
    <w:p>
      <w:r>
        <w:rPr>
          <w:rFonts w:ascii="Times New Roman" w:hAnsi="Times New Roman" w:eastAsia="Times New Roman"/>
          <w:sz w:val="23"/>
        </w:rPr>
        <w:t>The dataset is geographically extensive but not a probability sample. Europe and North America supplied more than 92% of observations, two taxa supplied 54%, and many taxa were sparsely represented. The retrospective sampling audit makes that imbalance visible rather than claiming to remove it. Directional stability for all ten selected among-taxon rows and 16 of 26 selected within-taxon rows is useful, but it does not make the sample globally representative or create a new confirmatory test.</w:t>
      </w:r>
    </w:p>
    <w:p>
      <w:r>
        <w:rPr>
          <w:rFonts w:ascii="Times New Roman" w:hAnsi="Times New Roman" w:eastAsia="Times New Roman"/>
          <w:sz w:val="23"/>
        </w:rPr>
        <w:t>Measurement limitations are equally important. Camera processing affects visible colour; two-dimensional outline depends on viewpoint; image vertical does not supply gravity; and fine involucral and surface variables require independent botanical calibration. Five registered endpoints were unexecuted, including visible floret fraction. Independent detector boxes, reference measurements, developmental-stage labels, paired flower-background colour controls and repeat-photo remeasurement remain required before submission claims can be strengthened.</w:t>
      </w:r>
    </w:p>
    <w:p>
      <w:pPr>
        <w:pStyle w:val="Heading2"/>
        <w:numPr>
          <w:ilvl w:val="1"/>
          <w:numId w:val="10"/>
        </w:numPr>
      </w:pPr>
      <w:r>
        <w:t>Future directions</w:t>
      </w:r>
    </w:p>
    <w:p>
      <w:r>
        <w:rPr>
          <w:rFonts w:ascii="Times New Roman" w:hAnsi="Times New Roman" w:eastAsia="Times New Roman"/>
          <w:sz w:val="23"/>
        </w:rPr>
        <w:t>The present study stops at defined continuous traits, their uncertainty, current geographic support, environmental alignment, biological scale and robustness status. Future work can first validate candidate functions, then reconstruct when and how often supported functional states arose using nuclear ancestry data and distinguish independent origins from retention, ancestral polymorphism and introgression. Convergence or adaptive-convergence claims should be tested only when independent origins, comparable selection pressures and reproductive-fitness evidence are available; spatial association alone cannot supply those historical or causal conclusions.</w:t>
      </w:r>
    </w:p>
    <w:p>
      <w:pPr>
        <w:pStyle w:val="Heading2"/>
        <w:numPr>
          <w:ilvl w:val="1"/>
          <w:numId w:val="10"/>
        </w:numPr>
      </w:pPr>
      <w:r>
        <w:t>Overall implication</w:t>
      </w:r>
    </w:p>
    <w:p>
      <w:r>
        <w:rPr>
          <w:rFonts w:ascii="Times New Roman" w:hAnsi="Times New Roman" w:eastAsia="Times New Roman"/>
          <w:sz w:val="23"/>
        </w:rPr>
        <w:t>Public photographs can recover a quantitative geography of visible phenotype that species categories and means compress. This is the methodological result. The ecological result is that thistle capitula form a multidimensional, scale-dependent phenotype field containing two unusually well-supported among-taxon directions: lower visible chroma under higher radiation and a larger image-referenced orientation angle under higher annual precipitation. Their agreement with independent radiation-pigment and protective-orientation studies gives them functional meaning, while their sequential robustness gives them priority for validation. Their value is that they now define precise botanical, physiological and evolutionary tests—not that those mechanisms, adaptive histories or fitness consequences have already been solved.</w:t>
      </w:r>
    </w:p>
    <w:p>
      <w:pPr>
        <w:pStyle w:val="Heading1"/>
        <w:numPr>
          <w:ilvl w:val="0"/>
          <w:numId w:val="10"/>
        </w:numPr>
      </w:pPr>
      <w:r>
        <w:t>Conclusion and declarations</w:t>
      </w:r>
    </w:p>
    <w:p>
      <w:r>
        <w:rPr>
          <w:rFonts w:ascii="Times New Roman" w:hAnsi="Times New Roman" w:eastAsia="Times New Roman"/>
          <w:sz w:val="23"/>
        </w:rPr>
        <w:t>The methodological contribution is an auditable route from public photographs to repeated, coordinate-bearing continuous phenotypes: starting from 27 registered endpoints, the study recovered 22 measured capitulum phenotypes across 46,276 observations and 259 source-assigned taxa. Taxon means compressed 81.4-98.6% of raw visible variation and 28.7-58.5% after equalizing replication. The ecological contribution is evidence that environmental organization is endpoint- and scale-specific rather than one capitulum syndrome. Two among-taxon directions—lower visible chroma with higher shortwave radiation and a larger image-referenced orientation angle with higher annual precipitation—are consistent with independent evidence for radiation-responsive floral pigmentation and protective downward floral presentation. Both retained support through the current multiplicity, sampling-composition, broad-space, residual-spatial and historical-placement gates.</w:t>
      </w:r>
    </w:p>
    <w:p>
      <w:r>
        <w:rPr>
          <w:rFonts w:ascii="Times New Roman" w:hAnsi="Times New Roman" w:eastAsia="Times New Roman"/>
          <w:sz w:val="23"/>
        </w:rPr>
        <w:t>The convergence of functional plausibility and robustness makes these priority adaptive-pattern candidates under current sequential controls, not demonstrations of adaptation or mechanism. Camera-recorded chroma cannot be inverted into anthocyanin concentration, and image vertical cannot establish gravity-referenced nodding or rain protection. Citizen-science sampling is uneven, and independent detector, trait-measurement and botanical validation remain open. No claim is made about plasticity, heritability, selection, causal environmental response, independent origins or convergence.</w:t>
      </w:r>
    </w:p>
    <w:p>
      <w:pPr>
        <w:pStyle w:val="Heading2"/>
      </w:pPr>
      <w:r>
        <w:t>Declarations</w:t>
      </w:r>
    </w:p>
    <w:p>
      <w:r>
        <w:rPr>
          <w:rFonts w:ascii="Times New Roman" w:hAnsi="Times New Roman" w:eastAsia="Times New Roman"/>
          <w:sz w:val="23"/>
        </w:rPr>
        <w:t xml:space="preserve">Ethics approval was not required for analysis of publicly available biodiversity observations. Source photographs will not be redistributed beyond their individual licence terms. Author contributions, funding, acknowledgements, conflicts of interest and corresponding-author details must be completed by the authors in the journal submission system and separate title page. The current repository package remains a submission candidate on scientific HOLD until the external validation gates listed in </w:t>
      </w:r>
      <w:r>
        <w:rPr>
          <w:rFonts w:ascii="Consolas" w:hAnsi="Consolas" w:eastAsia="Consolas"/>
          <w:sz w:val="19"/>
        </w:rPr>
        <w:t>EXTERNAL_COMPLETION_GATES.md</w:t>
      </w:r>
      <w:r>
        <w:rPr>
          <w:rFonts w:ascii="Times New Roman" w:hAnsi="Times New Roman" w:eastAsia="Times New Roman"/>
          <w:sz w:val="23"/>
        </w:rPr>
        <w:t xml:space="preserve"> are closed.</w:t>
      </w:r>
    </w:p>
    <w:p>
      <w:pPr>
        <w:pStyle w:val="Heading1"/>
      </w:pPr>
      <w:r>
        <w:t>References</w:t>
      </w:r>
    </w:p>
    <w:p>
      <w:r>
        <w:rPr>
          <w:rFonts w:ascii="Times New Roman" w:hAnsi="Times New Roman" w:eastAsia="Times New Roman"/>
          <w:sz w:val="23"/>
        </w:rPr>
        <w:t xml:space="preserve">Ackerfield, J., Susanna, A., Funk, V. A., Kelch, D. G., Park, D. S., Thornhill, A. H., … Dirmenci, T. (2020). A prickly puzzle: Generic delimitations in the Carduus–Cirsium group (Compositae: Cardueae: Carduinae). </w:t>
      </w:r>
      <w:r>
        <w:rPr>
          <w:rFonts w:ascii="Times New Roman" w:hAnsi="Times New Roman" w:eastAsia="Times New Roman"/>
          <w:i/>
          <w:sz w:val="23"/>
        </w:rPr>
        <w:t>Taxon</w:t>
      </w:r>
      <w:r>
        <w:rPr>
          <w:rFonts w:ascii="Times New Roman" w:hAnsi="Times New Roman" w:eastAsia="Times New Roman"/>
          <w:sz w:val="23"/>
        </w:rPr>
        <w:t>, 69, 715–738. https://doi.org/10.1002/tax.12288</w:t>
      </w:r>
    </w:p>
    <w:p>
      <w:r>
        <w:rPr>
          <w:rFonts w:ascii="Times New Roman" w:hAnsi="Times New Roman" w:eastAsia="Times New Roman"/>
          <w:sz w:val="23"/>
        </w:rPr>
        <w:t xml:space="preserve">Aizen, M. A. (2003). Down-facing flowers, hummingbirds and rain. </w:t>
      </w:r>
      <w:r>
        <w:rPr>
          <w:rFonts w:ascii="Times New Roman" w:hAnsi="Times New Roman" w:eastAsia="Times New Roman"/>
          <w:i/>
          <w:sz w:val="23"/>
        </w:rPr>
        <w:t>Taxon</w:t>
      </w:r>
      <w:r>
        <w:rPr>
          <w:rFonts w:ascii="Times New Roman" w:hAnsi="Times New Roman" w:eastAsia="Times New Roman"/>
          <w:sz w:val="23"/>
        </w:rPr>
        <w:t>, 52, 675–680. https://doi.org/10.2307/3647342</w:t>
      </w:r>
    </w:p>
    <w:p>
      <w:r>
        <w:rPr>
          <w:rFonts w:ascii="Times New Roman" w:hAnsi="Times New Roman" w:eastAsia="Times New Roman"/>
          <w:sz w:val="23"/>
        </w:rPr>
        <w:t xml:space="preserve">Albert, C. H., Grassein, F., Schurr, F. M., Vieilledent, G. &amp; Violle, C. (2011). When and how should intraspecific variability be considered in trait-based plant ecology? </w:t>
      </w:r>
      <w:r>
        <w:rPr>
          <w:rFonts w:ascii="Times New Roman" w:hAnsi="Times New Roman" w:eastAsia="Times New Roman"/>
          <w:i/>
          <w:sz w:val="23"/>
        </w:rPr>
        <w:t>Perspectives in Plant Ecology, Evolution and Systematics</w:t>
      </w:r>
      <w:r>
        <w:rPr>
          <w:rFonts w:ascii="Times New Roman" w:hAnsi="Times New Roman" w:eastAsia="Times New Roman"/>
          <w:sz w:val="23"/>
        </w:rPr>
        <w:t>, 13, 217–225. https://doi.org/10.1016/j.ppees.2011.04.003</w:t>
      </w:r>
    </w:p>
    <w:p>
      <w:r>
        <w:rPr>
          <w:rFonts w:ascii="Times New Roman" w:hAnsi="Times New Roman" w:eastAsia="Times New Roman"/>
          <w:sz w:val="23"/>
        </w:rPr>
        <w:t xml:space="preserve">Bolnick, D. I., Amarasekare, P., Araújo, M. S., Bürger, R., Levine, J. M., Novak, M., … Vasseur, D. A. (2011). Why intraspecific trait variation matters in community ecology. </w:t>
      </w:r>
      <w:r>
        <w:rPr>
          <w:rFonts w:ascii="Times New Roman" w:hAnsi="Times New Roman" w:eastAsia="Times New Roman"/>
          <w:i/>
          <w:sz w:val="23"/>
        </w:rPr>
        <w:t>Trends in Ecology &amp; Evolution</w:t>
      </w:r>
      <w:r>
        <w:rPr>
          <w:rFonts w:ascii="Times New Roman" w:hAnsi="Times New Roman" w:eastAsia="Times New Roman"/>
          <w:sz w:val="23"/>
        </w:rPr>
        <w:t>, 26, 183–192. https://doi.org/10.1016/j.tree.2011.01.009</w:t>
      </w:r>
    </w:p>
    <w:p>
      <w:r>
        <w:rPr>
          <w:rFonts w:ascii="Times New Roman" w:hAnsi="Times New Roman" w:eastAsia="Times New Roman"/>
          <w:sz w:val="23"/>
        </w:rPr>
        <w:t xml:space="preserve">Borghi, M., Perez de Souza, L., Yoshida, T. &amp; Fernie, A. R. (2019). Flowers and climate change: a metabolic perspective. </w:t>
      </w:r>
      <w:r>
        <w:rPr>
          <w:rFonts w:ascii="Times New Roman" w:hAnsi="Times New Roman" w:eastAsia="Times New Roman"/>
          <w:i/>
          <w:sz w:val="23"/>
        </w:rPr>
        <w:t>New Phytologist</w:t>
      </w:r>
      <w:r>
        <w:rPr>
          <w:rFonts w:ascii="Times New Roman" w:hAnsi="Times New Roman" w:eastAsia="Times New Roman"/>
          <w:sz w:val="23"/>
        </w:rPr>
        <w:t>, 224, 1425–1441. https://doi.org/10.1111/nph.16031</w:t>
      </w:r>
    </w:p>
    <w:p>
      <w:r>
        <w:rPr>
          <w:rFonts w:ascii="Times New Roman" w:hAnsi="Times New Roman" w:eastAsia="Times New Roman"/>
          <w:sz w:val="23"/>
        </w:rPr>
        <w:t xml:space="preserve">Bureš, P., Del Guacchio, E., Šmerda, J., Özcan, M., Blizňáková, P., Vavrinec, M., … Zedek, F. (2024). Intergeneric hybrid origin of the invasive tetraploid </w:t>
      </w:r>
      <w:r>
        <w:rPr>
          <w:rFonts w:ascii="Times New Roman" w:hAnsi="Times New Roman" w:eastAsia="Times New Roman"/>
          <w:i/>
          <w:sz w:val="23"/>
        </w:rPr>
        <w:t>Cirsium vulgare</w:t>
      </w:r>
      <w:r>
        <w:rPr>
          <w:rFonts w:ascii="Times New Roman" w:hAnsi="Times New Roman" w:eastAsia="Times New Roman"/>
          <w:sz w:val="23"/>
        </w:rPr>
        <w:t xml:space="preserve">. </w:t>
      </w:r>
      <w:r>
        <w:rPr>
          <w:rFonts w:ascii="Times New Roman" w:hAnsi="Times New Roman" w:eastAsia="Times New Roman"/>
          <w:i/>
          <w:sz w:val="23"/>
        </w:rPr>
        <w:t>Plant Biology</w:t>
      </w:r>
      <w:r>
        <w:rPr>
          <w:rFonts w:ascii="Times New Roman" w:hAnsi="Times New Roman" w:eastAsia="Times New Roman"/>
          <w:sz w:val="23"/>
        </w:rPr>
        <w:t>, 26, 749–763. https://doi.org/10.1111/plb.13653</w:t>
      </w:r>
    </w:p>
    <w:p>
      <w:r>
        <w:rPr>
          <w:rFonts w:ascii="Times New Roman" w:hAnsi="Times New Roman" w:eastAsia="Times New Roman"/>
          <w:sz w:val="23"/>
        </w:rPr>
        <w:t xml:space="preserve">Chang, C.-Y., Liao, P.-C., Tzeng, H.-Y., Kusumi, J., Su, Z.-H. &amp; Tseng, Y.-H. (2026). Phylotranscriptomics and genome-size evidence clarify the Taiwanese </w:t>
      </w:r>
      <w:r>
        <w:rPr>
          <w:rFonts w:ascii="Times New Roman" w:hAnsi="Times New Roman" w:eastAsia="Times New Roman"/>
          <w:i/>
          <w:sz w:val="23"/>
        </w:rPr>
        <w:t>Cirsium japonicum</w:t>
      </w:r>
      <w:r>
        <w:rPr>
          <w:rFonts w:ascii="Times New Roman" w:hAnsi="Times New Roman" w:eastAsia="Times New Roman"/>
          <w:sz w:val="23"/>
        </w:rPr>
        <w:t xml:space="preserve"> complex and delimit </w:t>
      </w:r>
      <w:r>
        <w:rPr>
          <w:rFonts w:ascii="Times New Roman" w:hAnsi="Times New Roman" w:eastAsia="Times New Roman"/>
          <w:i/>
          <w:sz w:val="23"/>
        </w:rPr>
        <w:t>C. brevicaule</w:t>
      </w:r>
      <w:r>
        <w:rPr>
          <w:rFonts w:ascii="Times New Roman" w:hAnsi="Times New Roman" w:eastAsia="Times New Roman"/>
          <w:sz w:val="23"/>
        </w:rPr>
        <w:t xml:space="preserve"> and allied East Asian thistles. </w:t>
      </w:r>
      <w:r>
        <w:rPr>
          <w:rFonts w:ascii="Times New Roman" w:hAnsi="Times New Roman" w:eastAsia="Times New Roman"/>
          <w:i/>
          <w:sz w:val="23"/>
        </w:rPr>
        <w:t>BMC Plant Biology</w:t>
      </w:r>
      <w:r>
        <w:rPr>
          <w:rFonts w:ascii="Times New Roman" w:hAnsi="Times New Roman" w:eastAsia="Times New Roman"/>
          <w:sz w:val="23"/>
        </w:rPr>
        <w:t>, 26, 545. https://doi.org/10.1186/s12870-026-08097-6</w:t>
      </w:r>
    </w:p>
    <w:p>
      <w:r>
        <w:rPr>
          <w:rFonts w:ascii="Times New Roman" w:hAnsi="Times New Roman" w:eastAsia="Times New Roman"/>
          <w:sz w:val="23"/>
        </w:rPr>
        <w:t xml:space="preserve">Chen, J. G., Yang, Y., Zhang, Z. Q., Niu, Y. &amp; Sun, H. (2013). A nodding capitulum enhances the reproductive success of </w:t>
      </w:r>
      <w:r>
        <w:rPr>
          <w:rFonts w:ascii="Times New Roman" w:hAnsi="Times New Roman" w:eastAsia="Times New Roman"/>
          <w:i/>
          <w:sz w:val="23"/>
        </w:rPr>
        <w:t>Cremanthodium campanulatum</w:t>
      </w:r>
      <w:r>
        <w:rPr>
          <w:rFonts w:ascii="Times New Roman" w:hAnsi="Times New Roman" w:eastAsia="Times New Roman"/>
          <w:sz w:val="23"/>
        </w:rPr>
        <w:t xml:space="preserve"> (Asteraceae) at high elevations in the Sino-Himalayan Mountains. </w:t>
      </w:r>
      <w:r>
        <w:rPr>
          <w:rFonts w:ascii="Times New Roman" w:hAnsi="Times New Roman" w:eastAsia="Times New Roman"/>
          <w:i/>
          <w:sz w:val="23"/>
        </w:rPr>
        <w:t>Plant Ecology &amp; Diversity</w:t>
      </w:r>
      <w:r>
        <w:rPr>
          <w:rFonts w:ascii="Times New Roman" w:hAnsi="Times New Roman" w:eastAsia="Times New Roman"/>
          <w:sz w:val="23"/>
        </w:rPr>
        <w:t>, 6, 487–494. https://doi.org/10.1080/17550874.2012.702793</w:t>
      </w:r>
    </w:p>
    <w:p>
      <w:r>
        <w:rPr>
          <w:rFonts w:ascii="Times New Roman" w:hAnsi="Times New Roman" w:eastAsia="Times New Roman"/>
          <w:sz w:val="23"/>
        </w:rPr>
        <w:t xml:space="preserve">Creux, N. M., Brown, R. I., Garner, A. G., Saeed, S., Scher, C. L., Holalu, S. V., … Harmer, S. L. (2021). Flower orientation influences floral temperature, pollinator visits and plant fitness. </w:t>
      </w:r>
      <w:r>
        <w:rPr>
          <w:rFonts w:ascii="Times New Roman" w:hAnsi="Times New Roman" w:eastAsia="Times New Roman"/>
          <w:i/>
          <w:sz w:val="23"/>
        </w:rPr>
        <w:t>New Phytologist</w:t>
      </w:r>
      <w:r>
        <w:rPr>
          <w:rFonts w:ascii="Times New Roman" w:hAnsi="Times New Roman" w:eastAsia="Times New Roman"/>
          <w:sz w:val="23"/>
        </w:rPr>
        <w:t>, 232, 868–879. https://doi.org/10.1111/nph.17627</w:t>
      </w:r>
    </w:p>
    <w:p>
      <w:r>
        <w:rPr>
          <w:rFonts w:ascii="Times New Roman" w:hAnsi="Times New Roman" w:eastAsia="Times New Roman"/>
          <w:sz w:val="23"/>
        </w:rPr>
        <w:t xml:space="preserve">Dalrymple, R. L., Kemp, D. J., Flores-Moreno, H., Laffan, S. W., White, T. E., Hemmings, F. A. &amp; Moles, A. T. (2020). Macroecological patterns in flower colour are shaped by both biotic and abiotic factors. </w:t>
      </w:r>
      <w:r>
        <w:rPr>
          <w:rFonts w:ascii="Times New Roman" w:hAnsi="Times New Roman" w:eastAsia="Times New Roman"/>
          <w:i/>
          <w:sz w:val="23"/>
        </w:rPr>
        <w:t>New Phytologist</w:t>
      </w:r>
      <w:r>
        <w:rPr>
          <w:rFonts w:ascii="Times New Roman" w:hAnsi="Times New Roman" w:eastAsia="Times New Roman"/>
          <w:sz w:val="23"/>
        </w:rPr>
        <w:t>, 228, 1972–1985. https://doi.org/10.1111/nph.16737</w:t>
      </w:r>
    </w:p>
    <w:p>
      <w:r>
        <w:rPr>
          <w:rFonts w:ascii="Times New Roman" w:hAnsi="Times New Roman" w:eastAsia="Times New Roman"/>
          <w:sz w:val="23"/>
        </w:rPr>
        <w:t xml:space="preserve">Deguchi, A., Tatsuzawa, F., Hosokawa, M., Doi, M. &amp; Ohno, S. (2016). Quantitative evaluation of the contribution of four major anthocyanins to black flower coloring of dahlia petals. </w:t>
      </w:r>
      <w:r>
        <w:rPr>
          <w:rFonts w:ascii="Times New Roman" w:hAnsi="Times New Roman" w:eastAsia="Times New Roman"/>
          <w:i/>
          <w:sz w:val="23"/>
        </w:rPr>
        <w:t>The Horticulture Journal</w:t>
      </w:r>
      <w:r>
        <w:rPr>
          <w:rFonts w:ascii="Times New Roman" w:hAnsi="Times New Roman" w:eastAsia="Times New Roman"/>
          <w:sz w:val="23"/>
        </w:rPr>
        <w:t>, 85, 340–350. https://doi.org/10.2503/hortj.MI-121</w:t>
      </w:r>
    </w:p>
    <w:p>
      <w:r>
        <w:rPr>
          <w:rFonts w:ascii="Times New Roman" w:hAnsi="Times New Roman" w:eastAsia="Times New Roman"/>
          <w:sz w:val="23"/>
        </w:rPr>
        <w:t xml:space="preserve">del Valle, J. C., Gallardo-López, A., Buide, M. L., Whittall, J. B. &amp; Narbona, E. (2018). Digital photography provides a fast, reliable, and noninvasive method to estimate anthocyanin pigment concentration in reproductive and vegetative plant tissues. </w:t>
      </w:r>
      <w:r>
        <w:rPr>
          <w:rFonts w:ascii="Times New Roman" w:hAnsi="Times New Roman" w:eastAsia="Times New Roman"/>
          <w:i/>
          <w:sz w:val="23"/>
        </w:rPr>
        <w:t>Ecology and Evolution</w:t>
      </w:r>
      <w:r>
        <w:rPr>
          <w:rFonts w:ascii="Times New Roman" w:hAnsi="Times New Roman" w:eastAsia="Times New Roman"/>
          <w:sz w:val="23"/>
        </w:rPr>
        <w:t>, 8, 3064–3076. https://doi.org/10.1002/ece3.3804</w:t>
      </w:r>
    </w:p>
    <w:p>
      <w:r>
        <w:rPr>
          <w:rFonts w:ascii="Times New Roman" w:hAnsi="Times New Roman" w:eastAsia="Times New Roman"/>
          <w:sz w:val="23"/>
        </w:rPr>
        <w:t xml:space="preserve">Di Cecco, G. J., Barve, V., Belitz, M. W., Stucky, B. J., Guralnick, R. P. &amp; Hurlbert, A. H. (2021). Observing the observers: How participants contribute data to iNaturalist and implications for biodiversity science. </w:t>
      </w:r>
      <w:r>
        <w:rPr>
          <w:rFonts w:ascii="Times New Roman" w:hAnsi="Times New Roman" w:eastAsia="Times New Roman"/>
          <w:i/>
          <w:sz w:val="23"/>
        </w:rPr>
        <w:t>BioScience</w:t>
      </w:r>
      <w:r>
        <w:rPr>
          <w:rFonts w:ascii="Times New Roman" w:hAnsi="Times New Roman" w:eastAsia="Times New Roman"/>
          <w:sz w:val="23"/>
        </w:rPr>
        <w:t>, 71, 1179–1188. https://doi.org/10.1093/biosci/biab093</w:t>
      </w:r>
    </w:p>
    <w:p>
      <w:r>
        <w:rPr>
          <w:rFonts w:ascii="Times New Roman" w:hAnsi="Times New Roman" w:eastAsia="Times New Roman"/>
          <w:sz w:val="23"/>
        </w:rPr>
        <w:t xml:space="preserve">Diggle, P. K. (2014). Modularity and intra-floral integration in metameric organisms: plants are more than the sum of their parts. </w:t>
      </w:r>
      <w:r>
        <w:rPr>
          <w:rFonts w:ascii="Times New Roman" w:hAnsi="Times New Roman" w:eastAsia="Times New Roman"/>
          <w:i/>
          <w:sz w:val="23"/>
        </w:rPr>
        <w:t>Philosophical Transactions of the Royal Society B: Biological Sciences</w:t>
      </w:r>
      <w:r>
        <w:rPr>
          <w:rFonts w:ascii="Times New Roman" w:hAnsi="Times New Roman" w:eastAsia="Times New Roman"/>
          <w:sz w:val="23"/>
        </w:rPr>
        <w:t>, 369, 20130253. https://doi.org/10.1098/rstb.2013.0253</w:t>
      </w:r>
    </w:p>
    <w:p>
      <w:r>
        <w:rPr>
          <w:rFonts w:ascii="Times New Roman" w:hAnsi="Times New Roman" w:eastAsia="Times New Roman"/>
          <w:sz w:val="23"/>
        </w:rPr>
        <w:t xml:space="preserve">Grossenbacher, D. L., Lo, M. S., Waddington, M. E., O'Dell, R. &amp; Kay, K. M. (2026). Soil and climate contribute to maintenance of a flower color polymorphism. </w:t>
      </w:r>
      <w:r>
        <w:rPr>
          <w:rFonts w:ascii="Times New Roman" w:hAnsi="Times New Roman" w:eastAsia="Times New Roman"/>
          <w:i/>
          <w:sz w:val="23"/>
        </w:rPr>
        <w:t>American Journal of Botany</w:t>
      </w:r>
      <w:r>
        <w:rPr>
          <w:rFonts w:ascii="Times New Roman" w:hAnsi="Times New Roman" w:eastAsia="Times New Roman"/>
          <w:sz w:val="23"/>
        </w:rPr>
        <w:t>, 113, e70018. https://doi.org/10.1002/ajb2.70018</w:t>
      </w:r>
    </w:p>
    <w:p>
      <w:r>
        <w:rPr>
          <w:rFonts w:ascii="Times New Roman" w:hAnsi="Times New Roman" w:eastAsia="Times New Roman"/>
          <w:sz w:val="23"/>
        </w:rPr>
        <w:t xml:space="preserve">Hanley, M. E., Lamont, B. B., Fairbanks, M. M. &amp; Rafferty, C. M. (2007). Plant structural traits and their role in anti-herbivore defence. </w:t>
      </w:r>
      <w:r>
        <w:rPr>
          <w:rFonts w:ascii="Times New Roman" w:hAnsi="Times New Roman" w:eastAsia="Times New Roman"/>
          <w:i/>
          <w:sz w:val="23"/>
        </w:rPr>
        <w:t>Perspectives in Plant Ecology, Evolution and Systematics</w:t>
      </w:r>
      <w:r>
        <w:rPr>
          <w:rFonts w:ascii="Times New Roman" w:hAnsi="Times New Roman" w:eastAsia="Times New Roman"/>
          <w:sz w:val="23"/>
        </w:rPr>
        <w:t>, 8, 157–178. https://doi.org/10.1016/j.ppees.2007.01.001</w:t>
      </w:r>
    </w:p>
    <w:p>
      <w:r>
        <w:rPr>
          <w:rFonts w:ascii="Times New Roman" w:hAnsi="Times New Roman" w:eastAsia="Times New Roman"/>
          <w:sz w:val="23"/>
        </w:rPr>
        <w:t xml:space="preserve">Hennayake, C. K., Kanechi, M., Yasuda, N., Uno, Y. &amp; Inagaki, N. (2006). Irradiation of UV-B induces biosynthesis of anthocyanins in flower petals of rose, </w:t>
      </w:r>
      <w:r>
        <w:rPr>
          <w:rFonts w:ascii="Times New Roman" w:hAnsi="Times New Roman" w:eastAsia="Times New Roman"/>
          <w:i/>
          <w:sz w:val="23"/>
        </w:rPr>
        <w:t>Rosa hybrida</w:t>
      </w:r>
      <w:r>
        <w:rPr>
          <w:rFonts w:ascii="Times New Roman" w:hAnsi="Times New Roman" w:eastAsia="Times New Roman"/>
          <w:sz w:val="23"/>
        </w:rPr>
        <w:t xml:space="preserve"> cv. 'Charleston' and 'Ehigasa'. </w:t>
      </w:r>
      <w:r>
        <w:rPr>
          <w:rFonts w:ascii="Times New Roman" w:hAnsi="Times New Roman" w:eastAsia="Times New Roman"/>
          <w:i/>
          <w:sz w:val="23"/>
        </w:rPr>
        <w:t>Environment Control in Biology</w:t>
      </w:r>
      <w:r>
        <w:rPr>
          <w:rFonts w:ascii="Times New Roman" w:hAnsi="Times New Roman" w:eastAsia="Times New Roman"/>
          <w:sz w:val="23"/>
        </w:rPr>
        <w:t>, 44, 103–110. https://doi.org/10.2525/ecb.44.103</w:t>
      </w:r>
    </w:p>
    <w:p>
      <w:r>
        <w:rPr>
          <w:rFonts w:ascii="Times New Roman" w:hAnsi="Times New Roman" w:eastAsia="Times New Roman"/>
          <w:sz w:val="23"/>
        </w:rPr>
        <w:t xml:space="preserve">Herrera, C. M. (2025). Flowers that cool themselves: Thermal ecology of summer-blooming thistles in hot Mediterranean environments. </w:t>
      </w:r>
      <w:r>
        <w:rPr>
          <w:rFonts w:ascii="Times New Roman" w:hAnsi="Times New Roman" w:eastAsia="Times New Roman"/>
          <w:i/>
          <w:sz w:val="23"/>
        </w:rPr>
        <w:t>Ecological Monographs</w:t>
      </w:r>
      <w:r>
        <w:rPr>
          <w:rFonts w:ascii="Times New Roman" w:hAnsi="Times New Roman" w:eastAsia="Times New Roman"/>
          <w:sz w:val="23"/>
        </w:rPr>
        <w:t>, 95, e70007. https://doi.org/10.1002/ecm.70007</w:t>
      </w:r>
    </w:p>
    <w:p>
      <w:r>
        <w:rPr>
          <w:rFonts w:ascii="Times New Roman" w:hAnsi="Times New Roman" w:eastAsia="Times New Roman"/>
          <w:sz w:val="23"/>
        </w:rPr>
        <w:t xml:space="preserve">Kattge, J., Díaz, S., Lavorel, S., Prentice, I. C., Leadley, P., Bönisch, G., … Wirth, C. (2011). TRY—a global database of plant traits. </w:t>
      </w:r>
      <w:r>
        <w:rPr>
          <w:rFonts w:ascii="Times New Roman" w:hAnsi="Times New Roman" w:eastAsia="Times New Roman"/>
          <w:i/>
          <w:sz w:val="23"/>
        </w:rPr>
        <w:t>Global Change Biology</w:t>
      </w:r>
      <w:r>
        <w:rPr>
          <w:rFonts w:ascii="Times New Roman" w:hAnsi="Times New Roman" w:eastAsia="Times New Roman"/>
          <w:sz w:val="23"/>
        </w:rPr>
        <w:t>, 17, 2905–2935. https://doi.org/10.1111/j.1365-2486.2011.02451.x</w:t>
      </w:r>
    </w:p>
    <w:p>
      <w:r>
        <w:rPr>
          <w:rFonts w:ascii="Times New Roman" w:hAnsi="Times New Roman" w:eastAsia="Times New Roman"/>
          <w:sz w:val="23"/>
        </w:rPr>
        <w:t xml:space="preserve">Kattge, J., Bönisch, G., Díaz, S., Lavorel, S., Prentice, I. C., Leadley, P., … Wirth, C. (2020). TRY plant trait database—enhanced coverage and open access. </w:t>
      </w:r>
      <w:r>
        <w:rPr>
          <w:rFonts w:ascii="Times New Roman" w:hAnsi="Times New Roman" w:eastAsia="Times New Roman"/>
          <w:i/>
          <w:sz w:val="23"/>
        </w:rPr>
        <w:t>Global Change Biology</w:t>
      </w:r>
      <w:r>
        <w:rPr>
          <w:rFonts w:ascii="Times New Roman" w:hAnsi="Times New Roman" w:eastAsia="Times New Roman"/>
          <w:sz w:val="23"/>
        </w:rPr>
        <w:t>, 26, 119–188. https://doi.org/10.1111/gcb.14904</w:t>
      </w:r>
    </w:p>
    <w:p>
      <w:r>
        <w:rPr>
          <w:rFonts w:ascii="Times New Roman" w:hAnsi="Times New Roman" w:eastAsia="Times New Roman"/>
          <w:sz w:val="23"/>
        </w:rPr>
        <w:t>Kelch, D. G. &amp; Baldwin, B. G. (2003). Phylogeny and ecological radiation of New World thistles (</w:t>
      </w:r>
      <w:r>
        <w:rPr>
          <w:rFonts w:ascii="Times New Roman" w:hAnsi="Times New Roman" w:eastAsia="Times New Roman"/>
          <w:i/>
          <w:sz w:val="23"/>
        </w:rPr>
        <w:t>Cirsium</w:t>
      </w:r>
      <w:r>
        <w:rPr>
          <w:rFonts w:ascii="Times New Roman" w:hAnsi="Times New Roman" w:eastAsia="Times New Roman"/>
          <w:sz w:val="23"/>
        </w:rPr>
        <w:t xml:space="preserve">, Cardueae–Compositae) based on ITS and ETS rDNA sequence data. </w:t>
      </w:r>
      <w:r>
        <w:rPr>
          <w:rFonts w:ascii="Times New Roman" w:hAnsi="Times New Roman" w:eastAsia="Times New Roman"/>
          <w:i/>
          <w:sz w:val="23"/>
        </w:rPr>
        <w:t>Molecular Ecology</w:t>
      </w:r>
      <w:r>
        <w:rPr>
          <w:rFonts w:ascii="Times New Roman" w:hAnsi="Times New Roman" w:eastAsia="Times New Roman"/>
          <w:sz w:val="23"/>
        </w:rPr>
        <w:t>, 12, 141–151. https://doi.org/10.1046/j.1365-294X.2003.01710.x</w:t>
      </w:r>
    </w:p>
    <w:p>
      <w:r>
        <w:rPr>
          <w:rFonts w:ascii="Times New Roman" w:hAnsi="Times New Roman" w:eastAsia="Times New Roman"/>
          <w:sz w:val="23"/>
        </w:rPr>
        <w:t xml:space="preserve">Kitamura, S. (1932). 日本産新菊科植物: 摘要 [New Compositae from Japan: abstract; in Japanese]. </w:t>
      </w:r>
      <w:r>
        <w:rPr>
          <w:rFonts w:ascii="Times New Roman" w:hAnsi="Times New Roman" w:eastAsia="Times New Roman"/>
          <w:i/>
          <w:sz w:val="23"/>
        </w:rPr>
        <w:t>Acta Phytotaxonomica et Geobotanica</w:t>
      </w:r>
      <w:r>
        <w:rPr>
          <w:rFonts w:ascii="Times New Roman" w:hAnsi="Times New Roman" w:eastAsia="Times New Roman"/>
          <w:sz w:val="23"/>
        </w:rPr>
        <w:t>, 1, 56–60. https://doi.org/10.18942/bunruichiri.KJ00001078744</w:t>
      </w:r>
    </w:p>
    <w:p>
      <w:r>
        <w:rPr>
          <w:rFonts w:ascii="Times New Roman" w:hAnsi="Times New Roman" w:eastAsia="Times New Roman"/>
          <w:sz w:val="23"/>
        </w:rPr>
        <w:t xml:space="preserve">Maitner, B. S., Boyle, B., Casler, N., Condit, R., Donoghue, J., Durán, S. M., … Enquist, B. J. (2018). The BIEN R package: a tool to access the Botanical Information and Ecology Network (BIEN) database. </w:t>
      </w:r>
      <w:r>
        <w:rPr>
          <w:rFonts w:ascii="Times New Roman" w:hAnsi="Times New Roman" w:eastAsia="Times New Roman"/>
          <w:i/>
          <w:sz w:val="23"/>
        </w:rPr>
        <w:t>Methods in Ecology and Evolution</w:t>
      </w:r>
      <w:r>
        <w:rPr>
          <w:rFonts w:ascii="Times New Roman" w:hAnsi="Times New Roman" w:eastAsia="Times New Roman"/>
          <w:sz w:val="23"/>
        </w:rPr>
        <w:t>, 9, 373–379. https://doi.org/10.1111/2041-210X.12861</w:t>
      </w:r>
    </w:p>
    <w:p>
      <w:r>
        <w:rPr>
          <w:rFonts w:ascii="Times New Roman" w:hAnsi="Times New Roman" w:eastAsia="Times New Roman"/>
          <w:sz w:val="23"/>
        </w:rPr>
        <w:t xml:space="preserve">Messier, J., McGill, B. J. &amp; Lechowicz, M. J. (2010). How do traits vary across ecological scales? A case for trait-based ecology. </w:t>
      </w:r>
      <w:r>
        <w:rPr>
          <w:rFonts w:ascii="Times New Roman" w:hAnsi="Times New Roman" w:eastAsia="Times New Roman"/>
          <w:i/>
          <w:sz w:val="23"/>
        </w:rPr>
        <w:t>Ecology Letters</w:t>
      </w:r>
      <w:r>
        <w:rPr>
          <w:rFonts w:ascii="Times New Roman" w:hAnsi="Times New Roman" w:eastAsia="Times New Roman"/>
          <w:sz w:val="23"/>
        </w:rPr>
        <w:t>, 13, 838–848. https://doi.org/10.1111/j.1461-0248.2010.01476.x</w:t>
      </w:r>
    </w:p>
    <w:p>
      <w:r>
        <w:rPr>
          <w:rFonts w:ascii="Times New Roman" w:hAnsi="Times New Roman" w:eastAsia="Times New Roman"/>
          <w:sz w:val="23"/>
        </w:rPr>
        <w:t xml:space="preserve">Mogford, D. J. (1972). </w:t>
      </w:r>
      <w:r>
        <w:rPr>
          <w:rFonts w:ascii="Times New Roman" w:hAnsi="Times New Roman" w:eastAsia="Times New Roman"/>
          <w:i/>
          <w:sz w:val="23"/>
        </w:rPr>
        <w:t>The ecological genetics of flower colour variation in Cirsium palustre</w:t>
      </w:r>
      <w:r>
        <w:rPr>
          <w:rFonts w:ascii="Times New Roman" w:hAnsi="Times New Roman" w:eastAsia="Times New Roman"/>
          <w:sz w:val="23"/>
        </w:rPr>
        <w:t xml:space="preserve"> [DPhil thesis]. University of Oxford. https://doi.org/10.5287/ora-mj5dwmwbx</w:t>
      </w:r>
    </w:p>
    <w:p>
      <w:r>
        <w:rPr>
          <w:rFonts w:ascii="Times New Roman" w:hAnsi="Times New Roman" w:eastAsia="Times New Roman"/>
          <w:sz w:val="23"/>
        </w:rPr>
        <w:t xml:space="preserve">Mogford, D. J. (1974a). Flower colour polymorphism in </w:t>
      </w:r>
      <w:r>
        <w:rPr>
          <w:rFonts w:ascii="Times New Roman" w:hAnsi="Times New Roman" w:eastAsia="Times New Roman"/>
          <w:i/>
          <w:sz w:val="23"/>
        </w:rPr>
        <w:t>Cirsium palustre</w:t>
      </w:r>
      <w:r>
        <w:rPr>
          <w:rFonts w:ascii="Times New Roman" w:hAnsi="Times New Roman" w:eastAsia="Times New Roman"/>
          <w:sz w:val="23"/>
        </w:rPr>
        <w:t xml:space="preserve">. 1. </w:t>
      </w:r>
      <w:r>
        <w:rPr>
          <w:rFonts w:ascii="Times New Roman" w:hAnsi="Times New Roman" w:eastAsia="Times New Roman"/>
          <w:i/>
          <w:sz w:val="23"/>
        </w:rPr>
        <w:t>Heredity</w:t>
      </w:r>
      <w:r>
        <w:rPr>
          <w:rFonts w:ascii="Times New Roman" w:hAnsi="Times New Roman" w:eastAsia="Times New Roman"/>
          <w:sz w:val="23"/>
        </w:rPr>
        <w:t>, 33, 241–256. https://doi.org/10.1038/hdy.1974.90</w:t>
      </w:r>
    </w:p>
    <w:p>
      <w:r>
        <w:rPr>
          <w:rFonts w:ascii="Times New Roman" w:hAnsi="Times New Roman" w:eastAsia="Times New Roman"/>
          <w:sz w:val="23"/>
        </w:rPr>
        <w:t xml:space="preserve">Mogford, D. J. (1974b). Flower colour polymorphism in </w:t>
      </w:r>
      <w:r>
        <w:rPr>
          <w:rFonts w:ascii="Times New Roman" w:hAnsi="Times New Roman" w:eastAsia="Times New Roman"/>
          <w:i/>
          <w:sz w:val="23"/>
        </w:rPr>
        <w:t>Cirsium palustre</w:t>
      </w:r>
      <w:r>
        <w:rPr>
          <w:rFonts w:ascii="Times New Roman" w:hAnsi="Times New Roman" w:eastAsia="Times New Roman"/>
          <w:sz w:val="23"/>
        </w:rPr>
        <w:t xml:space="preserve">. 2. Pollination. </w:t>
      </w:r>
      <w:r>
        <w:rPr>
          <w:rFonts w:ascii="Times New Roman" w:hAnsi="Times New Roman" w:eastAsia="Times New Roman"/>
          <w:i/>
          <w:sz w:val="23"/>
        </w:rPr>
        <w:t>Heredity</w:t>
      </w:r>
      <w:r>
        <w:rPr>
          <w:rFonts w:ascii="Times New Roman" w:hAnsi="Times New Roman" w:eastAsia="Times New Roman"/>
          <w:sz w:val="23"/>
        </w:rPr>
        <w:t>, 33, 257–263. https://doi.org/10.1038/hdy.1974.91</w:t>
      </w:r>
    </w:p>
    <w:p>
      <w:r>
        <w:rPr>
          <w:rFonts w:ascii="Times New Roman" w:hAnsi="Times New Roman" w:eastAsia="Times New Roman"/>
          <w:sz w:val="23"/>
        </w:rPr>
        <w:t xml:space="preserve">Mogford, D. J. (1978). Pollination and flower colour polymorphism, with special reference to </w:t>
      </w:r>
      <w:r>
        <w:rPr>
          <w:rFonts w:ascii="Times New Roman" w:hAnsi="Times New Roman" w:eastAsia="Times New Roman"/>
          <w:i/>
          <w:sz w:val="23"/>
        </w:rPr>
        <w:t>Cirsium palustre</w:t>
      </w:r>
      <w:r>
        <w:rPr>
          <w:rFonts w:ascii="Times New Roman" w:hAnsi="Times New Roman" w:eastAsia="Times New Roman"/>
          <w:sz w:val="23"/>
        </w:rPr>
        <w:t xml:space="preserve">. In A. J. Richards (Ed.), </w:t>
      </w:r>
      <w:r>
        <w:rPr>
          <w:rFonts w:ascii="Times New Roman" w:hAnsi="Times New Roman" w:eastAsia="Times New Roman"/>
          <w:i/>
          <w:sz w:val="23"/>
        </w:rPr>
        <w:t>The pollination of flowers by insects</w:t>
      </w:r>
      <w:r>
        <w:rPr>
          <w:rFonts w:ascii="Times New Roman" w:hAnsi="Times New Roman" w:eastAsia="Times New Roman"/>
          <w:sz w:val="23"/>
        </w:rPr>
        <w:t xml:space="preserve"> (pp. 191–199). London: Academic Press for the Linnean Society of London.</w:t>
      </w:r>
    </w:p>
    <w:p>
      <w:r>
        <w:rPr>
          <w:rFonts w:ascii="Times New Roman" w:hAnsi="Times New Roman" w:eastAsia="Times New Roman"/>
          <w:sz w:val="23"/>
        </w:rPr>
        <w:t xml:space="preserve">Moreyra, L. D., Susanna, A., Calleja, J. A., Ackerfield, J. R., Arabacı, T., Blanco-Gavaldà, C., … Roquet, C. (2025). A thorny tale: The origin and diversification of </w:t>
      </w:r>
      <w:r>
        <w:rPr>
          <w:rFonts w:ascii="Times New Roman" w:hAnsi="Times New Roman" w:eastAsia="Times New Roman"/>
          <w:i/>
          <w:sz w:val="23"/>
        </w:rPr>
        <w:t>Cirsium</w:t>
      </w:r>
      <w:r>
        <w:rPr>
          <w:rFonts w:ascii="Times New Roman" w:hAnsi="Times New Roman" w:eastAsia="Times New Roman"/>
          <w:sz w:val="23"/>
        </w:rPr>
        <w:t xml:space="preserve"> (Compositae). </w:t>
      </w:r>
      <w:r>
        <w:rPr>
          <w:rFonts w:ascii="Times New Roman" w:hAnsi="Times New Roman" w:eastAsia="Times New Roman"/>
          <w:i/>
          <w:sz w:val="23"/>
        </w:rPr>
        <w:t>Molecular Phylogenetics and Evolution</w:t>
      </w:r>
      <w:r>
        <w:rPr>
          <w:rFonts w:ascii="Times New Roman" w:hAnsi="Times New Roman" w:eastAsia="Times New Roman"/>
          <w:sz w:val="23"/>
        </w:rPr>
        <w:t>, 204, 108285. https://doi.org/10.1016/j.ympev.2025.108285</w:t>
      </w:r>
    </w:p>
    <w:p>
      <w:r>
        <w:rPr>
          <w:rFonts w:ascii="Times New Roman" w:hAnsi="Times New Roman" w:eastAsia="Times New Roman"/>
          <w:sz w:val="23"/>
        </w:rPr>
        <w:t xml:space="preserve">Narbona, E., Wang, H., Ortiz, P. L., Arista, M. &amp; Imbert, E. (2018). Flower colour polymorphism in the Mediterranean Basin: occurrence, maintenance and implications for speciation. </w:t>
      </w:r>
      <w:r>
        <w:rPr>
          <w:rFonts w:ascii="Times New Roman" w:hAnsi="Times New Roman" w:eastAsia="Times New Roman"/>
          <w:i/>
          <w:sz w:val="23"/>
        </w:rPr>
        <w:t>Plant Biology</w:t>
      </w:r>
      <w:r>
        <w:rPr>
          <w:rFonts w:ascii="Times New Roman" w:hAnsi="Times New Roman" w:eastAsia="Times New Roman"/>
          <w:sz w:val="23"/>
        </w:rPr>
        <w:t>, 20, 8–20. https://doi.org/10.1111/plb.12575</w:t>
      </w:r>
    </w:p>
    <w:p>
      <w:r>
        <w:rPr>
          <w:rFonts w:ascii="Times New Roman" w:hAnsi="Times New Roman" w:eastAsia="Times New Roman"/>
          <w:sz w:val="23"/>
        </w:rPr>
        <w:t xml:space="preserve">Ohashi, K. &amp; Yahara, T. (1998). Effects of variation in flower number on pollinator visits in </w:t>
      </w:r>
      <w:r>
        <w:rPr>
          <w:rFonts w:ascii="Times New Roman" w:hAnsi="Times New Roman" w:eastAsia="Times New Roman"/>
          <w:i/>
          <w:sz w:val="23"/>
        </w:rPr>
        <w:t>Cirsium purpuratum</w:t>
      </w:r>
      <w:r>
        <w:rPr>
          <w:rFonts w:ascii="Times New Roman" w:hAnsi="Times New Roman" w:eastAsia="Times New Roman"/>
          <w:sz w:val="23"/>
        </w:rPr>
        <w:t xml:space="preserve"> (Asteraceae). </w:t>
      </w:r>
      <w:r>
        <w:rPr>
          <w:rFonts w:ascii="Times New Roman" w:hAnsi="Times New Roman" w:eastAsia="Times New Roman"/>
          <w:i/>
          <w:sz w:val="23"/>
        </w:rPr>
        <w:t>American Journal of Botany</w:t>
      </w:r>
      <w:r>
        <w:rPr>
          <w:rFonts w:ascii="Times New Roman" w:hAnsi="Times New Roman" w:eastAsia="Times New Roman"/>
          <w:sz w:val="23"/>
        </w:rPr>
        <w:t>, 85, 219–224. https://doi.org/10.2307/2446309</w:t>
      </w:r>
    </w:p>
    <w:p>
      <w:r>
        <w:rPr>
          <w:rFonts w:ascii="Times New Roman" w:hAnsi="Times New Roman" w:eastAsia="Times New Roman"/>
          <w:sz w:val="23"/>
        </w:rPr>
        <w:t xml:space="preserve">Ohashi, K. &amp; Yahara, T. (2000). Effects of flower production and predispersal seed predation on reproduction in </w:t>
      </w:r>
      <w:r>
        <w:rPr>
          <w:rFonts w:ascii="Times New Roman" w:hAnsi="Times New Roman" w:eastAsia="Times New Roman"/>
          <w:i/>
          <w:sz w:val="23"/>
        </w:rPr>
        <w:t>Cirsium purpuratum</w:t>
      </w:r>
      <w:r>
        <w:rPr>
          <w:rFonts w:ascii="Times New Roman" w:hAnsi="Times New Roman" w:eastAsia="Times New Roman"/>
          <w:sz w:val="23"/>
        </w:rPr>
        <w:t xml:space="preserve">. </w:t>
      </w:r>
      <w:r>
        <w:rPr>
          <w:rFonts w:ascii="Times New Roman" w:hAnsi="Times New Roman" w:eastAsia="Times New Roman"/>
          <w:i/>
          <w:sz w:val="23"/>
        </w:rPr>
        <w:t>Canadian Journal of Botany</w:t>
      </w:r>
      <w:r>
        <w:rPr>
          <w:rFonts w:ascii="Times New Roman" w:hAnsi="Times New Roman" w:eastAsia="Times New Roman"/>
          <w:sz w:val="23"/>
        </w:rPr>
        <w:t>, 78, 230–236. https://doi.org/10.1139/B99-182</w:t>
      </w:r>
    </w:p>
    <w:p>
      <w:r>
        <w:rPr>
          <w:rFonts w:ascii="Times New Roman" w:hAnsi="Times New Roman" w:eastAsia="Times New Roman"/>
          <w:sz w:val="23"/>
        </w:rPr>
        <w:t xml:space="preserve">Ohashi, K. &amp; Yahara, T. (2002). Visit larger displays but probe proportionally fewer flowers: counterintuitive behaviour of nectar-collecting bumble bees achieves an ideal free distribution. </w:t>
      </w:r>
      <w:r>
        <w:rPr>
          <w:rFonts w:ascii="Times New Roman" w:hAnsi="Times New Roman" w:eastAsia="Times New Roman"/>
          <w:i/>
          <w:sz w:val="23"/>
        </w:rPr>
        <w:t>Functional Ecology</w:t>
      </w:r>
      <w:r>
        <w:rPr>
          <w:rFonts w:ascii="Times New Roman" w:hAnsi="Times New Roman" w:eastAsia="Times New Roman"/>
          <w:sz w:val="23"/>
        </w:rPr>
        <w:t>, 16, 492–503. https://doi.org/10.1046/j.1365-2435.2002.00644.x</w:t>
      </w:r>
    </w:p>
    <w:p>
      <w:r>
        <w:rPr>
          <w:rFonts w:ascii="Times New Roman" w:hAnsi="Times New Roman" w:eastAsia="Times New Roman"/>
          <w:sz w:val="23"/>
        </w:rPr>
        <w:t xml:space="preserve">Peach, K., Liu, J. W. &amp; Mazer, S. J. (2020). Climate predicts UV floral pattern size, anthocyanin concentration, and pollen performance in </w:t>
      </w:r>
      <w:r>
        <w:rPr>
          <w:rFonts w:ascii="Times New Roman" w:hAnsi="Times New Roman" w:eastAsia="Times New Roman"/>
          <w:i/>
          <w:sz w:val="23"/>
        </w:rPr>
        <w:t>Clarkia unguiculata</w:t>
      </w:r>
      <w:r>
        <w:rPr>
          <w:rFonts w:ascii="Times New Roman" w:hAnsi="Times New Roman" w:eastAsia="Times New Roman"/>
          <w:sz w:val="23"/>
        </w:rPr>
        <w:t xml:space="preserve">. </w:t>
      </w:r>
      <w:r>
        <w:rPr>
          <w:rFonts w:ascii="Times New Roman" w:hAnsi="Times New Roman" w:eastAsia="Times New Roman"/>
          <w:i/>
          <w:sz w:val="23"/>
        </w:rPr>
        <w:t>Frontiers in Plant Science</w:t>
      </w:r>
      <w:r>
        <w:rPr>
          <w:rFonts w:ascii="Times New Roman" w:hAnsi="Times New Roman" w:eastAsia="Times New Roman"/>
          <w:sz w:val="23"/>
        </w:rPr>
        <w:t>, 11, 847. https://doi.org/10.3389/fpls.2020.00847</w:t>
      </w:r>
    </w:p>
    <w:p>
      <w:r>
        <w:rPr>
          <w:rFonts w:ascii="Times New Roman" w:hAnsi="Times New Roman" w:eastAsia="Times New Roman"/>
          <w:sz w:val="23"/>
        </w:rPr>
        <w:t xml:space="preserve">Rzanny, M., Mäder, P., Deggelmann, A., Chen, M. &amp; Wäldchen, J. (2019). Flowers, leaves or both? How to obtain suitable images for automated plant identification. </w:t>
      </w:r>
      <w:r>
        <w:rPr>
          <w:rFonts w:ascii="Times New Roman" w:hAnsi="Times New Roman" w:eastAsia="Times New Roman"/>
          <w:i/>
          <w:sz w:val="23"/>
        </w:rPr>
        <w:t>Plant Methods</w:t>
      </w:r>
      <w:r>
        <w:rPr>
          <w:rFonts w:ascii="Times New Roman" w:hAnsi="Times New Roman" w:eastAsia="Times New Roman"/>
          <w:sz w:val="23"/>
        </w:rPr>
        <w:t>, 15, 77. https://doi.org/10.1186/s13007-019-0462-4</w:t>
      </w:r>
    </w:p>
    <w:p>
      <w:r>
        <w:rPr>
          <w:rFonts w:ascii="Times New Roman" w:hAnsi="Times New Roman" w:eastAsia="Times New Roman"/>
          <w:sz w:val="23"/>
        </w:rPr>
        <w:t xml:space="preserve">Sharma, A., Trost, J., Lusk, D., Dollinger, J., Schrader, J., Rossi, C., … Kattenborn, T. (2026). PlantTraitNet: An uncertainty-aware multimodal framework for global-scale plant trait inference from citizen science data. </w:t>
      </w:r>
      <w:r>
        <w:rPr>
          <w:rFonts w:ascii="Times New Roman" w:hAnsi="Times New Roman" w:eastAsia="Times New Roman"/>
          <w:i/>
          <w:sz w:val="23"/>
        </w:rPr>
        <w:t>Proceedings of the AAAI Conference on Artificial Intelligence</w:t>
      </w:r>
      <w:r>
        <w:rPr>
          <w:rFonts w:ascii="Times New Roman" w:hAnsi="Times New Roman" w:eastAsia="Times New Roman"/>
          <w:sz w:val="23"/>
        </w:rPr>
        <w:t>, 40(46), 39239–39248. https://doi.org/10.1609/aaai.v40i46.41272</w:t>
      </w:r>
    </w:p>
    <w:p>
      <w:r>
        <w:rPr>
          <w:rFonts w:ascii="Times New Roman" w:hAnsi="Times New Roman" w:eastAsia="Times New Roman"/>
          <w:sz w:val="23"/>
        </w:rPr>
        <w:t xml:space="preserve">Siefert, A., Violle, C., Chalmandrier, L., Albert, C. H., Taudiere, A., Fajardo, A., … Wardle, D. A. (2015). A global meta-analysis of the relative extent of intraspecific trait variation in plant communities. </w:t>
      </w:r>
      <w:r>
        <w:rPr>
          <w:rFonts w:ascii="Times New Roman" w:hAnsi="Times New Roman" w:eastAsia="Times New Roman"/>
          <w:i/>
          <w:sz w:val="23"/>
        </w:rPr>
        <w:t>Ecology Letters</w:t>
      </w:r>
      <w:r>
        <w:rPr>
          <w:rFonts w:ascii="Times New Roman" w:hAnsi="Times New Roman" w:eastAsia="Times New Roman"/>
          <w:sz w:val="23"/>
        </w:rPr>
        <w:t>, 18, 1406–1419. https://doi.org/10.1111/ele.12508</w:t>
      </w:r>
    </w:p>
    <w:p>
      <w:r>
        <w:rPr>
          <w:rFonts w:ascii="Times New Roman" w:hAnsi="Times New Roman" w:eastAsia="Times New Roman"/>
          <w:sz w:val="23"/>
        </w:rPr>
        <w:t>Siniscalchi, C. M., Ackerfield, J. R. &amp; Folk, R. A. (2023). Diversification and biogeography of North American thistles (</w:t>
      </w:r>
      <w:r>
        <w:rPr>
          <w:rFonts w:ascii="Times New Roman" w:hAnsi="Times New Roman" w:eastAsia="Times New Roman"/>
          <w:i/>
          <w:sz w:val="23"/>
        </w:rPr>
        <w:t>Cirsium</w:t>
      </w:r>
      <w:r>
        <w:rPr>
          <w:rFonts w:ascii="Times New Roman" w:hAnsi="Times New Roman" w:eastAsia="Times New Roman"/>
          <w:sz w:val="23"/>
        </w:rPr>
        <w:t xml:space="preserve">: Carduoideae: Compositae): drivers of a rapid continent-wide radiation. </w:t>
      </w:r>
      <w:r>
        <w:rPr>
          <w:rFonts w:ascii="Times New Roman" w:hAnsi="Times New Roman" w:eastAsia="Times New Roman"/>
          <w:i/>
          <w:sz w:val="23"/>
        </w:rPr>
        <w:t>International Journal of Plant Sciences</w:t>
      </w:r>
      <w:r>
        <w:rPr>
          <w:rFonts w:ascii="Times New Roman" w:hAnsi="Times New Roman" w:eastAsia="Times New Roman"/>
          <w:sz w:val="23"/>
        </w:rPr>
        <w:t>, 184, 322–341. https://doi.org/10.1086/724310</w:t>
      </w:r>
    </w:p>
    <w:p>
      <w:r>
        <w:rPr>
          <w:rFonts w:ascii="Times New Roman" w:hAnsi="Times New Roman" w:eastAsia="Times New Roman"/>
          <w:sz w:val="23"/>
        </w:rPr>
        <w:t xml:space="preserve">Sullivan, C. N. &amp; Koski, M. H. (2021). The effects of climate change on floral anthocyanin polymorphisms. </w:t>
      </w:r>
      <w:r>
        <w:rPr>
          <w:rFonts w:ascii="Times New Roman" w:hAnsi="Times New Roman" w:eastAsia="Times New Roman"/>
          <w:i/>
          <w:sz w:val="23"/>
        </w:rPr>
        <w:t>Proceedings of the Royal Society B: Biological Sciences</w:t>
      </w:r>
      <w:r>
        <w:rPr>
          <w:rFonts w:ascii="Times New Roman" w:hAnsi="Times New Roman" w:eastAsia="Times New Roman"/>
          <w:sz w:val="23"/>
        </w:rPr>
        <w:t>, 288, 20202693. https://doi.org/10.1098/rspb.2020.2693</w:t>
      </w:r>
    </w:p>
    <w:p>
      <w:r>
        <w:rPr>
          <w:rFonts w:ascii="Times New Roman" w:hAnsi="Times New Roman" w:eastAsia="Times New Roman"/>
          <w:sz w:val="23"/>
        </w:rPr>
        <w:t>Theis, N. (2006). Fragrance of Canada thistle (</w:t>
      </w:r>
      <w:r>
        <w:rPr>
          <w:rFonts w:ascii="Times New Roman" w:hAnsi="Times New Roman" w:eastAsia="Times New Roman"/>
          <w:i/>
          <w:sz w:val="23"/>
        </w:rPr>
        <w:t>Cirsium arvense</w:t>
      </w:r>
      <w:r>
        <w:rPr>
          <w:rFonts w:ascii="Times New Roman" w:hAnsi="Times New Roman" w:eastAsia="Times New Roman"/>
          <w:sz w:val="23"/>
        </w:rPr>
        <w:t xml:space="preserve">) attracts both floral herbivores and pollinators. </w:t>
      </w:r>
      <w:r>
        <w:rPr>
          <w:rFonts w:ascii="Times New Roman" w:hAnsi="Times New Roman" w:eastAsia="Times New Roman"/>
          <w:i/>
          <w:sz w:val="23"/>
        </w:rPr>
        <w:t>Journal of Chemical Ecology</w:t>
      </w:r>
      <w:r>
        <w:rPr>
          <w:rFonts w:ascii="Times New Roman" w:hAnsi="Times New Roman" w:eastAsia="Times New Roman"/>
          <w:sz w:val="23"/>
        </w:rPr>
        <w:t>, 32, 917–927. https://doi.org/10.1007/s10886-006-9051-x</w:t>
      </w:r>
    </w:p>
    <w:p>
      <w:r>
        <w:rPr>
          <w:rFonts w:ascii="Times New Roman" w:hAnsi="Times New Roman" w:eastAsia="Times New Roman"/>
          <w:sz w:val="23"/>
        </w:rPr>
        <w:t xml:space="preserve">Theis, N., Lerdau, M. &amp; Raguso, R. A. (2007). The challenge of attracting pollinators while evading floral herbivores: patterns of fragrance emission in </w:t>
      </w:r>
      <w:r>
        <w:rPr>
          <w:rFonts w:ascii="Times New Roman" w:hAnsi="Times New Roman" w:eastAsia="Times New Roman"/>
          <w:i/>
          <w:sz w:val="23"/>
        </w:rPr>
        <w:t>Cirsium arvense</w:t>
      </w:r>
      <w:r>
        <w:rPr>
          <w:rFonts w:ascii="Times New Roman" w:hAnsi="Times New Roman" w:eastAsia="Times New Roman"/>
          <w:sz w:val="23"/>
        </w:rPr>
        <w:t xml:space="preserve"> and </w:t>
      </w:r>
      <w:r>
        <w:rPr>
          <w:rFonts w:ascii="Times New Roman" w:hAnsi="Times New Roman" w:eastAsia="Times New Roman"/>
          <w:i/>
          <w:sz w:val="23"/>
        </w:rPr>
        <w:t>Cirsium repandum</w:t>
      </w:r>
      <w:r>
        <w:rPr>
          <w:rFonts w:ascii="Times New Roman" w:hAnsi="Times New Roman" w:eastAsia="Times New Roman"/>
          <w:sz w:val="23"/>
        </w:rPr>
        <w:t xml:space="preserve"> (Asteraceae). </w:t>
      </w:r>
      <w:r>
        <w:rPr>
          <w:rFonts w:ascii="Times New Roman" w:hAnsi="Times New Roman" w:eastAsia="Times New Roman"/>
          <w:i/>
          <w:sz w:val="23"/>
        </w:rPr>
        <w:t>International Journal of Plant Sciences</w:t>
      </w:r>
      <w:r>
        <w:rPr>
          <w:rFonts w:ascii="Times New Roman" w:hAnsi="Times New Roman" w:eastAsia="Times New Roman"/>
          <w:sz w:val="23"/>
        </w:rPr>
        <w:t>, 168, 587–601. https://doi.org/10.1086/513481</w:t>
      </w:r>
    </w:p>
    <w:p>
      <w:r>
        <w:rPr>
          <w:rFonts w:ascii="Times New Roman" w:hAnsi="Times New Roman" w:eastAsia="Times New Roman"/>
          <w:sz w:val="23"/>
        </w:rPr>
        <w:t xml:space="preserve">Troudet, J., Grandcolas, P., Blin, A., Vignes-Lebbe, R. &amp; Legendre, F. (2017). Taxonomic bias in biodiversity data and societal preferences. </w:t>
      </w:r>
      <w:r>
        <w:rPr>
          <w:rFonts w:ascii="Times New Roman" w:hAnsi="Times New Roman" w:eastAsia="Times New Roman"/>
          <w:i/>
          <w:sz w:val="23"/>
        </w:rPr>
        <w:t>Scientific Reports</w:t>
      </w:r>
      <w:r>
        <w:rPr>
          <w:rFonts w:ascii="Times New Roman" w:hAnsi="Times New Roman" w:eastAsia="Times New Roman"/>
          <w:sz w:val="23"/>
        </w:rPr>
        <w:t>, 7, 9132. https://doi.org/10.1038/s41598-017-09084-6</w:t>
      </w:r>
    </w:p>
    <w:p>
      <w:r>
        <w:rPr>
          <w:rFonts w:ascii="Times New Roman" w:hAnsi="Times New Roman" w:eastAsia="Times New Roman"/>
          <w:sz w:val="23"/>
        </w:rPr>
        <w:t>Vaidya, P., McDurmon, A., Mattoon, E., Keefe, M., Carley, L., Lee, C.-R., … Anderson, J. T. (2018). Ecological causes and consequences of flower color polymorphism in a self-pollinating plant (</w:t>
      </w:r>
      <w:r>
        <w:rPr>
          <w:rFonts w:ascii="Times New Roman" w:hAnsi="Times New Roman" w:eastAsia="Times New Roman"/>
          <w:i/>
          <w:sz w:val="23"/>
        </w:rPr>
        <w:t>Boechera stricta</w:t>
      </w:r>
      <w:r>
        <w:rPr>
          <w:rFonts w:ascii="Times New Roman" w:hAnsi="Times New Roman" w:eastAsia="Times New Roman"/>
          <w:sz w:val="23"/>
        </w:rPr>
        <w:t xml:space="preserve">). </w:t>
      </w:r>
      <w:r>
        <w:rPr>
          <w:rFonts w:ascii="Times New Roman" w:hAnsi="Times New Roman" w:eastAsia="Times New Roman"/>
          <w:i/>
          <w:sz w:val="23"/>
        </w:rPr>
        <w:t>New Phytologist</w:t>
      </w:r>
      <w:r>
        <w:rPr>
          <w:rFonts w:ascii="Times New Roman" w:hAnsi="Times New Roman" w:eastAsia="Times New Roman"/>
          <w:sz w:val="23"/>
        </w:rPr>
        <w:t>, 218, 380–392. https://doi.org/10.1111/nph.14998</w:t>
      </w:r>
    </w:p>
    <w:p>
      <w:r>
        <w:rPr>
          <w:rFonts w:ascii="Times New Roman" w:hAnsi="Times New Roman" w:eastAsia="Times New Roman"/>
          <w:sz w:val="23"/>
        </w:rPr>
        <w:t xml:space="preserve">van der Kooi, C. J., Kevan, P. G. &amp; Koski, M. H. (2019). The thermal ecology of flowers. </w:t>
      </w:r>
      <w:r>
        <w:rPr>
          <w:rFonts w:ascii="Times New Roman" w:hAnsi="Times New Roman" w:eastAsia="Times New Roman"/>
          <w:i/>
          <w:sz w:val="23"/>
        </w:rPr>
        <w:t>Annals of Botany</w:t>
      </w:r>
      <w:r>
        <w:rPr>
          <w:rFonts w:ascii="Times New Roman" w:hAnsi="Times New Roman" w:eastAsia="Times New Roman"/>
          <w:sz w:val="23"/>
        </w:rPr>
        <w:t>, 124, 343–353. https://doi.org/10.1093/aob/mcz073</w:t>
      </w:r>
    </w:p>
    <w:p>
      <w:r>
        <w:rPr>
          <w:rFonts w:ascii="Times New Roman" w:hAnsi="Times New Roman" w:eastAsia="Times New Roman"/>
          <w:sz w:val="23"/>
        </w:rPr>
        <w:t xml:space="preserve">Van Horn, G., Mac Aodha, O., Song, Y., Cui, Y., Sun, C., Shepard, A., … Belongie, S. (2018). The iNaturalist Species Classification and Detection Dataset. In </w:t>
      </w:r>
      <w:r>
        <w:rPr>
          <w:rFonts w:ascii="Times New Roman" w:hAnsi="Times New Roman" w:eastAsia="Times New Roman"/>
          <w:i/>
          <w:sz w:val="23"/>
        </w:rPr>
        <w:t>Proceedings of the IEEE Conference on Computer Vision and Pattern Recognition</w:t>
      </w:r>
      <w:r>
        <w:rPr>
          <w:rFonts w:ascii="Times New Roman" w:hAnsi="Times New Roman" w:eastAsia="Times New Roman"/>
          <w:sz w:val="23"/>
        </w:rPr>
        <w:t>, 8769–8778. https://doi.org/10.1109/CVPR.2018.00914</w:t>
      </w:r>
    </w:p>
    <w:p>
      <w:r>
        <w:rPr>
          <w:rFonts w:ascii="Times New Roman" w:hAnsi="Times New Roman" w:eastAsia="Times New Roman"/>
          <w:sz w:val="23"/>
        </w:rPr>
        <w:t xml:space="preserve">Violle, C., Enquist, B. J., McGill, B. J., Jiang, L., Albert, C. H., Hulshof, C., … Messier, J. (2012). The return of the variance: intraspecific variability in community ecology. </w:t>
      </w:r>
      <w:r>
        <w:rPr>
          <w:rFonts w:ascii="Times New Roman" w:hAnsi="Times New Roman" w:eastAsia="Times New Roman"/>
          <w:i/>
          <w:sz w:val="23"/>
        </w:rPr>
        <w:t>Trends in Ecology &amp; Evolution</w:t>
      </w:r>
      <w:r>
        <w:rPr>
          <w:rFonts w:ascii="Times New Roman" w:hAnsi="Times New Roman" w:eastAsia="Times New Roman"/>
          <w:sz w:val="23"/>
        </w:rPr>
        <w:t>, 27, 244–252. https://doi.org/10.1016/j.tree.2011.11.014</w:t>
      </w:r>
    </w:p>
    <w:p>
      <w:r>
        <w:rPr>
          <w:rFonts w:ascii="Times New Roman" w:hAnsi="Times New Roman" w:eastAsia="Times New Roman"/>
          <w:sz w:val="23"/>
        </w:rPr>
        <w:t xml:space="preserve">Wäldchen, J. &amp; Mäder, P. (2018). Machine learning for image-based species identification. </w:t>
      </w:r>
      <w:r>
        <w:rPr>
          <w:rFonts w:ascii="Times New Roman" w:hAnsi="Times New Roman" w:eastAsia="Times New Roman"/>
          <w:i/>
          <w:sz w:val="23"/>
        </w:rPr>
        <w:t>Methods in Ecology and Evolution</w:t>
      </w:r>
      <w:r>
        <w:rPr>
          <w:rFonts w:ascii="Times New Roman" w:hAnsi="Times New Roman" w:eastAsia="Times New Roman"/>
          <w:sz w:val="23"/>
        </w:rPr>
        <w:t>, 9, 2216–2225. https://doi.org/10.1111/2041-210X.13075</w:t>
      </w:r>
    </w:p>
    <w:p>
      <w:pPr>
        <w:pStyle w:val="Heading1"/>
      </w:pPr>
      <w:r>
        <w:t>Data and code availability</w:t>
      </w:r>
    </w:p>
    <w:p>
      <w:r>
        <w:rPr>
          <w:rFonts w:ascii="Times New Roman" w:hAnsi="Times New Roman" w:eastAsia="Times New Roman"/>
          <w:sz w:val="23"/>
        </w:rPr>
        <w:t>A versioned submission-candidate bundle containing the blinded Main and Supporting Information files, the formatted Main Tables 1–2 and Tables S1–S10 workbook, derived CSV tables, model outputs, figure sources and SHA-256 reproducibility manifests accompanies this repository. The public GitHub repository is not an anonymous review link; before journal submission, the exact bundle will be copied without Git history or account identifiers to an anonymized read-only location for editors and reviewers. Source photographs will not be redistributed beyond their individual licence terms. GitHub Actions artifacts are temporary execution records and are not the durable archive. After the independent validation gates, author metadata and repository licence are complete, the exact supporting version will be deposited in a durable repository with a persistent digital object identifier, and this statement will be replaced with the final repository name, DOI and access terms.</w:t>
      </w:r>
    </w:p>
    <w:p>
      <w:r>
        <w:br w:type="page"/>
      </w:r>
    </w:p>
    <w:p>
      <w:pPr>
        <w:pStyle w:val="Heading1"/>
      </w:pPr>
      <w:r>
        <w:t>Tables</w:t>
      </w:r>
    </w:p>
    <w:p>
      <w:pPr>
        <w:keepNext/>
      </w:pPr>
      <w:r>
        <w:rPr>
          <w:rFonts w:ascii="Times New Roman" w:hAnsi="Times New Roman" w:eastAsia="Times New Roman"/>
          <w:b/>
          <w:sz w:val="20"/>
        </w:rPr>
        <w:t>Table 1. Compact analytical roadmap for the global public-image study of thistle capitula. Each stage identifies its frozen scope, operation or decision gate, and linked display; the full eight-column roadmap is Table S10.</w:t>
      </w:r>
    </w:p>
    <w:tbl>
      <w:tblPr>
        <w:tblStyle w:val="TableGrid"/>
        <w:tblW w:type="auto" w:w="0"/>
        <w:tblLayout w:type="fixed"/>
        <w:tblLook w:firstColumn="1" w:firstRow="1" w:lastColumn="0" w:lastRow="0" w:noHBand="0" w:noVBand="1" w:val="04A0"/>
      </w:tblPr>
      <w:tblGrid>
        <w:gridCol w:w="2257"/>
        <w:gridCol w:w="2257"/>
        <w:gridCol w:w="2257"/>
        <w:gridCol w:w="2257"/>
      </w:tblGrid>
      <w:tr>
        <w:trPr>
          <w:tblHeader w:val="true"/>
        </w:trPr>
        <w:tc>
          <w:tcPr>
            <w:tcW w:type="dxa" w:w="1584"/>
            <w:shd w:fill="0F5B66"/>
            <w:vAlign w:val="top"/>
          </w:tcPr>
          <w:p>
            <w:pPr>
              <w:spacing w:after="0" w:line="240" w:lineRule="auto"/>
            </w:pPr>
            <w:r>
              <w:rPr>
                <w:rFonts w:ascii="Times New Roman" w:hAnsi="Times New Roman" w:eastAsia="Times New Roman"/>
                <w:b/>
                <w:color w:val="FFFFFF"/>
                <w:sz w:val="15"/>
              </w:rPr>
              <w:t>analytical stage</w:t>
            </w:r>
          </w:p>
        </w:tc>
        <w:tc>
          <w:tcPr>
            <w:tcW w:type="dxa" w:w="1944"/>
            <w:shd w:fill="0F5B66"/>
            <w:vAlign w:val="top"/>
          </w:tcPr>
          <w:p>
            <w:pPr>
              <w:spacing w:after="0" w:line="240" w:lineRule="auto"/>
            </w:pPr>
            <w:r>
              <w:rPr>
                <w:rFonts w:ascii="Times New Roman" w:hAnsi="Times New Roman" w:eastAsia="Times New Roman"/>
                <w:b/>
                <w:color w:val="FFFFFF"/>
                <w:sz w:val="15"/>
              </w:rPr>
              <w:t>frozen scope</w:t>
            </w:r>
          </w:p>
        </w:tc>
        <w:tc>
          <w:tcPr>
            <w:tcW w:type="dxa" w:w="3960"/>
            <w:shd w:fill="0F5B66"/>
            <w:vAlign w:val="top"/>
          </w:tcPr>
          <w:p>
            <w:pPr>
              <w:spacing w:after="0" w:line="240" w:lineRule="auto"/>
            </w:pPr>
            <w:r>
              <w:rPr>
                <w:rFonts w:ascii="Times New Roman" w:hAnsi="Times New Roman" w:eastAsia="Times New Roman"/>
                <w:b/>
                <w:color w:val="FFFFFF"/>
                <w:sz w:val="15"/>
              </w:rPr>
              <w:t>operation and gate</w:t>
            </w:r>
          </w:p>
        </w:tc>
        <w:tc>
          <w:tcPr>
            <w:tcW w:type="dxa" w:w="1440"/>
            <w:shd w:fill="0F5B66"/>
            <w:vAlign w:val="top"/>
          </w:tcPr>
          <w:p>
            <w:pPr>
              <w:spacing w:after="0" w:line="240" w:lineRule="auto"/>
            </w:pPr>
            <w:r>
              <w:rPr>
                <w:rFonts w:ascii="Times New Roman" w:hAnsi="Times New Roman" w:eastAsia="Times New Roman"/>
                <w:b/>
                <w:color w:val="FFFFFF"/>
                <w:sz w:val="15"/>
              </w:rPr>
              <w:t>linked display</w:t>
            </w:r>
          </w:p>
        </w:tc>
      </w:tr>
      <w:tr>
        <w:tc>
          <w:tcPr>
            <w:tcW w:type="dxa" w:w="1584"/>
            <w:shd w:fill="EAF3F5"/>
            <w:vAlign w:val="top"/>
          </w:tcPr>
          <w:p>
            <w:pPr>
              <w:spacing w:after="0" w:line="240" w:lineRule="auto"/>
            </w:pPr>
            <w:r>
              <w:rPr>
                <w:rFonts w:ascii="Times New Roman" w:hAnsi="Times New Roman" w:eastAsia="Times New Roman"/>
                <w:sz w:val="15"/>
              </w:rPr>
              <w:t>Photo localization</w:t>
            </w:r>
          </w:p>
        </w:tc>
        <w:tc>
          <w:tcPr>
            <w:tcW w:type="dxa" w:w="1944"/>
            <w:shd w:fill="EAF3F5"/>
            <w:vAlign w:val="top"/>
          </w:tcPr>
          <w:p>
            <w:pPr>
              <w:spacing w:after="0" w:line="240" w:lineRule="auto"/>
            </w:pPr>
            <w:r>
              <w:rPr>
                <w:rFonts w:ascii="Times New Roman" w:hAnsi="Times New Roman" w:eastAsia="Times New Roman"/>
                <w:sz w:val="15"/>
              </w:rPr>
              <w:t>Visible-capitulum bounding boxes</w:t>
            </w:r>
          </w:p>
        </w:tc>
        <w:tc>
          <w:tcPr>
            <w:tcW w:type="dxa" w:w="3960"/>
            <w:shd w:fill="EAF3F5"/>
            <w:vAlign w:val="top"/>
          </w:tcPr>
          <w:p>
            <w:pPr>
              <w:spacing w:after="0" w:line="240" w:lineRule="auto"/>
            </w:pPr>
            <w:r>
              <w:rPr>
                <w:rFonts w:ascii="Times New Roman" w:hAnsi="Times New Roman" w:eastAsia="Times New Roman"/>
                <w:sz w:val="15"/>
              </w:rPr>
              <w:t>YOLO localization only; deterministic functions score traits after cropping. Gate: A box defines the image unit; independent detector validation remains an external gate</w:t>
            </w:r>
          </w:p>
        </w:tc>
        <w:tc>
          <w:tcPr>
            <w:tcW w:type="dxa" w:w="1440"/>
            <w:shd w:fill="EAF3F5"/>
            <w:vAlign w:val="top"/>
          </w:tcPr>
          <w:p>
            <w:pPr>
              <w:spacing w:after="0" w:line="240" w:lineRule="auto"/>
            </w:pPr>
            <w:r>
              <w:rPr>
                <w:rFonts w:ascii="Times New Roman" w:hAnsi="Times New Roman" w:eastAsia="Times New Roman"/>
                <w:sz w:val="15"/>
              </w:rPr>
              <w:t>Figure 1; Tables S1-S2</w:t>
            </w:r>
          </w:p>
        </w:tc>
      </w:tr>
      <w:tr>
        <w:tc>
          <w:tcPr>
            <w:tcW w:type="dxa" w:w="1584"/>
            <w:vAlign w:val="top"/>
          </w:tcPr>
          <w:p>
            <w:pPr>
              <w:spacing w:after="0" w:line="240" w:lineRule="auto"/>
            </w:pPr>
            <w:r>
              <w:rPr>
                <w:rFonts w:ascii="Times New Roman" w:hAnsi="Times New Roman" w:eastAsia="Times New Roman"/>
                <w:sz w:val="15"/>
              </w:rPr>
              <w:t>Cohort and realized domain</w:t>
            </w:r>
          </w:p>
        </w:tc>
        <w:tc>
          <w:tcPr>
            <w:tcW w:type="dxa" w:w="1944"/>
            <w:vAlign w:val="top"/>
          </w:tcPr>
          <w:p>
            <w:pPr>
              <w:spacing w:after="0" w:line="240" w:lineRule="auto"/>
            </w:pPr>
            <w:r>
              <w:rPr>
                <w:rFonts w:ascii="Times New Roman" w:hAnsi="Times New Roman" w:eastAsia="Times New Roman"/>
                <w:sz w:val="15"/>
              </w:rPr>
              <w:t>46,276 observations; 259 source-assigned taxa</w:t>
            </w:r>
          </w:p>
        </w:tc>
        <w:tc>
          <w:tcPr>
            <w:tcW w:type="dxa" w:w="3960"/>
            <w:vAlign w:val="top"/>
          </w:tcPr>
          <w:p>
            <w:pPr>
              <w:spacing w:after="0" w:line="240" w:lineRule="auto"/>
            </w:pPr>
            <w:r>
              <w:rPr>
                <w:rFonts w:ascii="Times New Roman" w:hAnsi="Times New Roman" w:eastAsia="Times New Roman"/>
                <w:sz w:val="15"/>
              </w:rPr>
              <w:t>Maximum 10-km positional uncertainty; one observation per taxon by 0.25-degree cell. Gate: Freeze the realized sampling domain before examining endpoint values</w:t>
            </w:r>
          </w:p>
        </w:tc>
        <w:tc>
          <w:tcPr>
            <w:tcW w:type="dxa" w:w="1440"/>
            <w:vAlign w:val="top"/>
          </w:tcPr>
          <w:p>
            <w:pPr>
              <w:spacing w:after="0" w:line="240" w:lineRule="auto"/>
            </w:pPr>
            <w:r>
              <w:rPr>
                <w:rFonts w:ascii="Times New Roman" w:hAnsi="Times New Roman" w:eastAsia="Times New Roman"/>
                <w:sz w:val="15"/>
              </w:rPr>
              <w:t>Figure 2; Table S2</w:t>
            </w:r>
          </w:p>
        </w:tc>
      </w:tr>
      <w:tr>
        <w:tc>
          <w:tcPr>
            <w:tcW w:type="dxa" w:w="1584"/>
            <w:shd w:fill="EAF3F5"/>
            <w:vAlign w:val="top"/>
          </w:tcPr>
          <w:p>
            <w:pPr>
              <w:spacing w:after="0" w:line="240" w:lineRule="auto"/>
            </w:pPr>
            <w:r>
              <w:rPr>
                <w:rFonts w:ascii="Times New Roman" w:hAnsi="Times New Roman" w:eastAsia="Times New Roman"/>
                <w:sz w:val="15"/>
              </w:rPr>
              <w:t>Continuous measurement contract</w:t>
            </w:r>
          </w:p>
        </w:tc>
        <w:tc>
          <w:tcPr>
            <w:tcW w:type="dxa" w:w="1944"/>
            <w:shd w:fill="EAF3F5"/>
            <w:vAlign w:val="top"/>
          </w:tcPr>
          <w:p>
            <w:pPr>
              <w:spacing w:after="0" w:line="240" w:lineRule="auto"/>
            </w:pPr>
            <w:r>
              <w:rPr>
                <w:rFonts w:ascii="Times New Roman" w:hAnsi="Times New Roman" w:eastAsia="Times New Roman"/>
                <w:sz w:val="15"/>
              </w:rPr>
              <w:t>27 registered endpoints; 22 measured; five explicit unexecuted</w:t>
            </w:r>
          </w:p>
        </w:tc>
        <w:tc>
          <w:tcPr>
            <w:tcW w:type="dxa" w:w="3960"/>
            <w:shd w:fill="EAF3F5"/>
            <w:vAlign w:val="top"/>
          </w:tcPr>
          <w:p>
            <w:pPr>
              <w:spacing w:after="0" w:line="240" w:lineRule="auto"/>
            </w:pPr>
            <w:r>
              <w:rPr>
                <w:rFonts w:ascii="Times New Roman" w:hAnsi="Times New Roman" w:eastAsia="Times New Roman"/>
                <w:sz w:val="15"/>
              </w:rPr>
              <w:t>Deterministic orientation, visible-colour, outline and fine-geometry measurements. Gate: Missing or unassessable measurement remains missing evidence</w:t>
            </w:r>
          </w:p>
        </w:tc>
        <w:tc>
          <w:tcPr>
            <w:tcW w:type="dxa" w:w="1440"/>
            <w:shd w:fill="EAF3F5"/>
            <w:vAlign w:val="top"/>
          </w:tcPr>
          <w:p>
            <w:pPr>
              <w:spacing w:after="0" w:line="240" w:lineRule="auto"/>
            </w:pPr>
            <w:r>
              <w:rPr>
                <w:rFonts w:ascii="Times New Roman" w:hAnsi="Times New Roman" w:eastAsia="Times New Roman"/>
                <w:sz w:val="15"/>
              </w:rPr>
              <w:t>Figure 1; Table S1</w:t>
            </w:r>
          </w:p>
        </w:tc>
      </w:tr>
      <w:tr>
        <w:tc>
          <w:tcPr>
            <w:tcW w:type="dxa" w:w="1584"/>
            <w:vAlign w:val="top"/>
          </w:tcPr>
          <w:p>
            <w:pPr>
              <w:spacing w:after="0" w:line="240" w:lineRule="auto"/>
            </w:pPr>
            <w:r>
              <w:rPr>
                <w:rFonts w:ascii="Times New Roman" w:hAnsi="Times New Roman" w:eastAsia="Times New Roman"/>
                <w:sz w:val="15"/>
              </w:rPr>
              <w:t>Taxon-mean information loss</w:t>
            </w:r>
          </w:p>
        </w:tc>
        <w:tc>
          <w:tcPr>
            <w:tcW w:type="dxa" w:w="1944"/>
            <w:vAlign w:val="top"/>
          </w:tcPr>
          <w:p>
            <w:pPr>
              <w:spacing w:after="0" w:line="240" w:lineRule="auto"/>
            </w:pPr>
            <w:r>
              <w:rPr>
                <w:rFonts w:ascii="Times New Roman" w:hAnsi="Times New Roman" w:eastAsia="Times New Roman"/>
                <w:sz w:val="15"/>
              </w:rPr>
              <w:t>22 measured endpoints</w:t>
            </w:r>
          </w:p>
        </w:tc>
        <w:tc>
          <w:tcPr>
            <w:tcW w:type="dxa" w:w="3960"/>
            <w:vAlign w:val="top"/>
          </w:tcPr>
          <w:p>
            <w:pPr>
              <w:spacing w:after="0" w:line="240" w:lineRule="auto"/>
            </w:pPr>
            <w:r>
              <w:rPr>
                <w:rFonts w:ascii="Times New Roman" w:hAnsi="Times New Roman" w:eastAsia="Times New Roman"/>
                <w:sz w:val="15"/>
              </w:rPr>
              <w:t>Raw sums-of-squares partition plus 500 two-observations-per-taxon resamples. Gate: Describe visible image-phenotype information loss, not genetic variance</w:t>
            </w:r>
          </w:p>
        </w:tc>
        <w:tc>
          <w:tcPr>
            <w:tcW w:type="dxa" w:w="1440"/>
            <w:vAlign w:val="top"/>
          </w:tcPr>
          <w:p>
            <w:pPr>
              <w:spacing w:after="0" w:line="240" w:lineRule="auto"/>
            </w:pPr>
            <w:r>
              <w:rPr>
                <w:rFonts w:ascii="Times New Roman" w:hAnsi="Times New Roman" w:eastAsia="Times New Roman"/>
                <w:sz w:val="15"/>
              </w:rPr>
              <w:t>Figure 3; Table S3</w:t>
            </w:r>
          </w:p>
        </w:tc>
      </w:tr>
      <w:tr>
        <w:tc>
          <w:tcPr>
            <w:tcW w:type="dxa" w:w="1584"/>
            <w:shd w:fill="EAF3F5"/>
            <w:vAlign w:val="top"/>
          </w:tcPr>
          <w:p>
            <w:pPr>
              <w:spacing w:after="0" w:line="240" w:lineRule="auto"/>
            </w:pPr>
            <w:r>
              <w:rPr>
                <w:rFonts w:ascii="Times New Roman" w:hAnsi="Times New Roman" w:eastAsia="Times New Roman"/>
                <w:sz w:val="15"/>
              </w:rPr>
              <w:t>Within/among environmental atlas</w:t>
            </w:r>
          </w:p>
        </w:tc>
        <w:tc>
          <w:tcPr>
            <w:tcW w:type="dxa" w:w="1944"/>
            <w:shd w:fill="EAF3F5"/>
            <w:vAlign w:val="top"/>
          </w:tcPr>
          <w:p>
            <w:pPr>
              <w:spacing w:after="0" w:line="240" w:lineRule="auto"/>
            </w:pPr>
            <w:r>
              <w:rPr>
                <w:rFonts w:ascii="Times New Roman" w:hAnsi="Times New Roman" w:eastAsia="Times New Roman"/>
                <w:sz w:val="15"/>
              </w:rPr>
              <w:t>26 inferential units by nine predictors in six blocks; 234 canonical rows</w:t>
            </w:r>
          </w:p>
        </w:tc>
        <w:tc>
          <w:tcPr>
            <w:tcW w:type="dxa" w:w="3960"/>
            <w:shd w:fill="EAF3F5"/>
            <w:vAlign w:val="top"/>
          </w:tcPr>
          <w:p>
            <w:pPr>
              <w:spacing w:after="0" w:line="240" w:lineRule="auto"/>
            </w:pPr>
            <w:r>
              <w:rPr>
                <w:rFonts w:ascii="Times New Roman" w:hAnsi="Times New Roman" w:eastAsia="Times New Roman"/>
                <w:sz w:val="15"/>
              </w:rPr>
              <w:t>Taxon-demeaned clustered models and taxon-label permutations; separate global BH families. Gate: Classify every row as both, within-only, among-only, neither or not-comparable</w:t>
            </w:r>
          </w:p>
        </w:tc>
        <w:tc>
          <w:tcPr>
            <w:tcW w:type="dxa" w:w="1440"/>
            <w:shd w:fill="EAF3F5"/>
            <w:vAlign w:val="top"/>
          </w:tcPr>
          <w:p>
            <w:pPr>
              <w:spacing w:after="0" w:line="240" w:lineRule="auto"/>
            </w:pPr>
            <w:r>
              <w:rPr>
                <w:rFonts w:ascii="Times New Roman" w:hAnsi="Times New Roman" w:eastAsia="Times New Roman"/>
                <w:sz w:val="15"/>
              </w:rPr>
              <w:t>Figure 4; Tables S4-S6</w:t>
            </w:r>
          </w:p>
        </w:tc>
      </w:tr>
      <w:tr>
        <w:tc>
          <w:tcPr>
            <w:tcW w:type="dxa" w:w="1584"/>
            <w:vAlign w:val="top"/>
          </w:tcPr>
          <w:p>
            <w:pPr>
              <w:spacing w:after="0" w:line="240" w:lineRule="auto"/>
            </w:pPr>
            <w:r>
              <w:rPr>
                <w:rFonts w:ascii="Times New Roman" w:hAnsi="Times New Roman" w:eastAsia="Times New Roman"/>
                <w:sz w:val="15"/>
              </w:rPr>
              <w:t>Sampling-composition audit</w:t>
            </w:r>
          </w:p>
        </w:tc>
        <w:tc>
          <w:tcPr>
            <w:tcW w:type="dxa" w:w="1944"/>
            <w:vAlign w:val="top"/>
          </w:tcPr>
          <w:p>
            <w:pPr>
              <w:spacing w:after="0" w:line="240" w:lineRule="auto"/>
            </w:pPr>
            <w:r>
              <w:rPr>
                <w:rFonts w:ascii="Times New Roman" w:hAnsi="Times New Roman" w:eastAsia="Times New Roman"/>
                <w:sz w:val="15"/>
              </w:rPr>
              <w:t>674 evaluable retrospective scenarios</w:t>
            </w:r>
          </w:p>
        </w:tc>
        <w:tc>
          <w:tcPr>
            <w:tcW w:type="dxa" w:w="3960"/>
            <w:vAlign w:val="top"/>
          </w:tcPr>
          <w:p>
            <w:pPr>
              <w:spacing w:after="0" w:line="240" w:lineRule="auto"/>
            </w:pPr>
            <w:r>
              <w:rPr>
                <w:rFonts w:ascii="Times New Roman" w:hAnsi="Times New Roman" w:eastAsia="Times New Roman"/>
                <w:sz w:val="15"/>
              </w:rPr>
              <w:t>Direction and effect-magnitude retention only; no post-selection P values. Gate: Annotate sensitivity without converting the sample into a probability sample</w:t>
            </w:r>
          </w:p>
        </w:tc>
        <w:tc>
          <w:tcPr>
            <w:tcW w:type="dxa" w:w="1440"/>
            <w:vAlign w:val="top"/>
          </w:tcPr>
          <w:p>
            <w:pPr>
              <w:spacing w:after="0" w:line="240" w:lineRule="auto"/>
            </w:pPr>
            <w:r>
              <w:rPr>
                <w:rFonts w:ascii="Times New Roman" w:hAnsi="Times New Roman" w:eastAsia="Times New Roman"/>
                <w:sz w:val="15"/>
              </w:rPr>
              <w:t>Figure 5; Table S7</w:t>
            </w:r>
          </w:p>
        </w:tc>
      </w:tr>
      <w:tr>
        <w:tc>
          <w:tcPr>
            <w:tcW w:type="dxa" w:w="1584"/>
            <w:shd w:fill="EAF3F5"/>
            <w:vAlign w:val="top"/>
          </w:tcPr>
          <w:p>
            <w:pPr>
              <w:spacing w:after="0" w:line="240" w:lineRule="auto"/>
            </w:pPr>
            <w:r>
              <w:rPr>
                <w:rFonts w:ascii="Times New Roman" w:hAnsi="Times New Roman" w:eastAsia="Times New Roman"/>
                <w:sz w:val="15"/>
              </w:rPr>
              <w:t>Broad-space gate</w:t>
            </w:r>
          </w:p>
        </w:tc>
        <w:tc>
          <w:tcPr>
            <w:tcW w:type="dxa" w:w="1944"/>
            <w:shd w:fill="EAF3F5"/>
            <w:vAlign w:val="top"/>
          </w:tcPr>
          <w:p>
            <w:pPr>
              <w:spacing w:after="0" w:line="240" w:lineRule="auto"/>
            </w:pPr>
            <w:r>
              <w:rPr>
                <w:rFonts w:ascii="Times New Roman" w:hAnsi="Times New Roman" w:eastAsia="Times New Roman"/>
                <w:sz w:val="15"/>
              </w:rPr>
              <w:t>26 within-taxon and ten among-taxon rows</w:t>
            </w:r>
          </w:p>
        </w:tc>
        <w:tc>
          <w:tcPr>
            <w:tcW w:type="dxa" w:w="3960"/>
            <w:shd w:fill="EAF3F5"/>
            <w:vAlign w:val="top"/>
          </w:tcPr>
          <w:p>
            <w:pPr>
              <w:spacing w:after="0" w:line="240" w:lineRule="auto"/>
            </w:pPr>
            <w:r>
              <w:rPr>
                <w:rFonts w:ascii="Times New Roman" w:hAnsi="Times New Roman" w:eastAsia="Times New Roman"/>
                <w:sz w:val="15"/>
              </w:rPr>
              <w:t>Spatial-basis refit, permutation P and eight-nearest-neighbour residual Moran diagnostic. Gate: Five within and two among rows pass the declared broad-space screen</w:t>
            </w:r>
          </w:p>
        </w:tc>
        <w:tc>
          <w:tcPr>
            <w:tcW w:type="dxa" w:w="1440"/>
            <w:shd w:fill="EAF3F5"/>
            <w:vAlign w:val="top"/>
          </w:tcPr>
          <w:p>
            <w:pPr>
              <w:spacing w:after="0" w:line="240" w:lineRule="auto"/>
            </w:pPr>
            <w:r>
              <w:rPr>
                <w:rFonts w:ascii="Times New Roman" w:hAnsi="Times New Roman" w:eastAsia="Times New Roman"/>
                <w:sz w:val="15"/>
              </w:rPr>
              <w:t>Figure 5; Table S8</w:t>
            </w:r>
          </w:p>
        </w:tc>
      </w:tr>
      <w:tr>
        <w:tc>
          <w:tcPr>
            <w:tcW w:type="dxa" w:w="1584"/>
            <w:vAlign w:val="top"/>
          </w:tcPr>
          <w:p>
            <w:pPr>
              <w:spacing w:after="0" w:line="240" w:lineRule="auto"/>
            </w:pPr>
            <w:r>
              <w:rPr>
                <w:rFonts w:ascii="Times New Roman" w:hAnsi="Times New Roman" w:eastAsia="Times New Roman"/>
                <w:sz w:val="15"/>
              </w:rPr>
              <w:t>Historical-placement gate</w:t>
            </w:r>
          </w:p>
        </w:tc>
        <w:tc>
          <w:tcPr>
            <w:tcW w:type="dxa" w:w="1944"/>
            <w:vAlign w:val="top"/>
          </w:tcPr>
          <w:p>
            <w:pPr>
              <w:spacing w:after="0" w:line="240" w:lineRule="auto"/>
            </w:pPr>
            <w:r>
              <w:rPr>
                <w:rFonts w:ascii="Times New Roman" w:hAnsi="Times New Roman" w:eastAsia="Times New Roman"/>
                <w:sz w:val="15"/>
              </w:rPr>
              <w:t>Two deterministic and 50 randomized within-genus placement trees</w:t>
            </w:r>
          </w:p>
        </w:tc>
        <w:tc>
          <w:tcPr>
            <w:tcW w:type="dxa" w:w="3960"/>
            <w:vAlign w:val="top"/>
          </w:tcPr>
          <w:p>
            <w:pPr>
              <w:spacing w:after="0" w:line="240" w:lineRule="auto"/>
            </w:pPr>
            <w:r>
              <w:rPr>
                <w:rFonts w:ascii="Times New Roman" w:hAnsi="Times New Roman" w:eastAsia="Times New Roman"/>
                <w:sz w:val="15"/>
              </w:rPr>
              <w:t>Pagel-lambda PGLS sensitivity on 52 trees per row. Gate: Two adaptive-pattern candidates under current controls; not adaptation, mechanism or convergence proof</w:t>
            </w:r>
          </w:p>
        </w:tc>
        <w:tc>
          <w:tcPr>
            <w:tcW w:type="dxa" w:w="1440"/>
            <w:vAlign w:val="top"/>
          </w:tcPr>
          <w:p>
            <w:pPr>
              <w:spacing w:after="0" w:line="240" w:lineRule="auto"/>
            </w:pPr>
            <w:r>
              <w:rPr>
                <w:rFonts w:ascii="Times New Roman" w:hAnsi="Times New Roman" w:eastAsia="Times New Roman"/>
                <w:sz w:val="15"/>
              </w:rPr>
              <w:t>Figure 5; Table S8</w:t>
            </w:r>
          </w:p>
        </w:tc>
      </w:tr>
    </w:tbl>
    <w:p>
      <w:r>
        <w:br w:type="page"/>
      </w:r>
    </w:p>
    <w:p>
      <w:pPr>
        <w:keepNext/>
      </w:pPr>
      <w:r>
        <w:rPr>
          <w:rFonts w:ascii="Times New Roman" w:hAnsi="Times New Roman" w:eastAsia="Times New Roman"/>
          <w:b/>
          <w:sz w:val="20"/>
        </w:rPr>
        <w:t>Table 2. Frozen evidence chain for the two among-taxon candidate patterns in the global thistle-capitulum cohort. Beta denotes a standardized coefficient; BH denotes Benjamini-Hochberg; P values are descriptive outputs of the predeclared gates. Stability under these controls is not evidence of adaptation, convergence or mechanism.</w:t>
      </w:r>
    </w:p>
    <w:tbl>
      <w:tblPr>
        <w:tblStyle w:val="TableGrid"/>
        <w:tblW w:type="auto" w:w="0"/>
        <w:tblLayout w:type="fixed"/>
        <w:tblLook w:firstColumn="1" w:firstRow="1" w:lastColumn="0" w:lastRow="0" w:noHBand="0" w:noVBand="1" w:val="04A0"/>
      </w:tblPr>
      <w:tblGrid>
        <w:gridCol w:w="1806"/>
        <w:gridCol w:w="1806"/>
        <w:gridCol w:w="1806"/>
        <w:gridCol w:w="1806"/>
        <w:gridCol w:w="1806"/>
      </w:tblGrid>
      <w:tr>
        <w:trPr>
          <w:tblHeader w:val="true"/>
        </w:trPr>
        <w:tc>
          <w:tcPr>
            <w:tcW w:type="dxa" w:w="1872"/>
            <w:shd w:fill="0F5B66"/>
            <w:vAlign w:val="top"/>
          </w:tcPr>
          <w:p>
            <w:pPr>
              <w:spacing w:after="0" w:line="240" w:lineRule="auto"/>
            </w:pPr>
            <w:r>
              <w:rPr>
                <w:rFonts w:ascii="Times New Roman" w:hAnsi="Times New Roman" w:eastAsia="Times New Roman"/>
                <w:b/>
                <w:color w:val="FFFFFF"/>
                <w:sz w:val="14"/>
              </w:rPr>
              <w:t>candidate pattern</w:t>
            </w:r>
          </w:p>
        </w:tc>
        <w:tc>
          <w:tcPr>
            <w:tcW w:type="dxa" w:w="1512"/>
            <w:shd w:fill="0F5B66"/>
            <w:vAlign w:val="top"/>
          </w:tcPr>
          <w:p>
            <w:pPr>
              <w:spacing w:after="0" w:line="240" w:lineRule="auto"/>
            </w:pPr>
            <w:r>
              <w:rPr>
                <w:rFonts w:ascii="Times New Roman" w:hAnsi="Times New Roman" w:eastAsia="Times New Roman"/>
                <w:b/>
                <w:color w:val="FFFFFF"/>
                <w:sz w:val="14"/>
              </w:rPr>
              <w:t>global among taxon</w:t>
            </w:r>
          </w:p>
        </w:tc>
        <w:tc>
          <w:tcPr>
            <w:tcW w:type="dxa" w:w="1800"/>
            <w:shd w:fill="0F5B66"/>
            <w:vAlign w:val="top"/>
          </w:tcPr>
          <w:p>
            <w:pPr>
              <w:spacing w:after="0" w:line="240" w:lineRule="auto"/>
            </w:pPr>
            <w:r>
              <w:rPr>
                <w:rFonts w:ascii="Times New Roman" w:hAnsi="Times New Roman" w:eastAsia="Times New Roman"/>
                <w:b/>
                <w:color w:val="FFFFFF"/>
                <w:sz w:val="14"/>
              </w:rPr>
              <w:t>sampling composition</w:t>
            </w:r>
          </w:p>
        </w:tc>
        <w:tc>
          <w:tcPr>
            <w:tcW w:type="dxa" w:w="1944"/>
            <w:shd w:fill="0F5B66"/>
            <w:vAlign w:val="top"/>
          </w:tcPr>
          <w:p>
            <w:pPr>
              <w:spacing w:after="0" w:line="240" w:lineRule="auto"/>
            </w:pPr>
            <w:r>
              <w:rPr>
                <w:rFonts w:ascii="Times New Roman" w:hAnsi="Times New Roman" w:eastAsia="Times New Roman"/>
                <w:b/>
                <w:color w:val="FFFFFF"/>
                <w:sz w:val="14"/>
              </w:rPr>
              <w:t>broad space gate</w:t>
            </w:r>
          </w:p>
        </w:tc>
        <w:tc>
          <w:tcPr>
            <w:tcW w:type="dxa" w:w="1800"/>
            <w:shd w:fill="0F5B66"/>
            <w:vAlign w:val="top"/>
          </w:tcPr>
          <w:p>
            <w:pPr>
              <w:spacing w:after="0" w:line="240" w:lineRule="auto"/>
            </w:pPr>
            <w:r>
              <w:rPr>
                <w:rFonts w:ascii="Times New Roman" w:hAnsi="Times New Roman" w:eastAsia="Times New Roman"/>
                <w:b/>
                <w:color w:val="FFFFFF"/>
                <w:sz w:val="14"/>
              </w:rPr>
              <w:t>historical placement</w:t>
            </w:r>
          </w:p>
        </w:tc>
      </w:tr>
      <w:tr>
        <w:tc>
          <w:tcPr>
            <w:tcW w:type="dxa" w:w="1872"/>
            <w:shd w:fill="EAF3F5"/>
            <w:vAlign w:val="top"/>
          </w:tcPr>
          <w:p>
            <w:pPr>
              <w:spacing w:after="0" w:line="240" w:lineRule="auto"/>
            </w:pPr>
            <w:r>
              <w:rPr>
                <w:rFonts w:ascii="Times New Roman" w:hAnsi="Times New Roman" w:eastAsia="Times New Roman"/>
                <w:sz w:val="14"/>
              </w:rPr>
              <w:t>Lower camera-recorded corolla chroma with higher shortwave radiation</w:t>
            </w:r>
          </w:p>
        </w:tc>
        <w:tc>
          <w:tcPr>
            <w:tcW w:type="dxa" w:w="1512"/>
            <w:shd w:fill="EAF3F5"/>
            <w:vAlign w:val="top"/>
          </w:tcPr>
          <w:p>
            <w:pPr>
              <w:spacing w:after="0" w:line="240" w:lineRule="auto"/>
            </w:pPr>
            <w:r>
              <w:rPr>
                <w:rFonts w:ascii="Times New Roman" w:hAnsi="Times New Roman" w:eastAsia="Times New Roman"/>
                <w:sz w:val="14"/>
              </w:rPr>
              <w:t>n = 143; beta = -0.345; global BH q = 0.006</w:t>
            </w:r>
          </w:p>
        </w:tc>
        <w:tc>
          <w:tcPr>
            <w:tcW w:type="dxa" w:w="1800"/>
            <w:shd w:fill="EAF3F5"/>
            <w:vAlign w:val="top"/>
          </w:tcPr>
          <w:p>
            <w:pPr>
              <w:spacing w:after="0" w:line="240" w:lineRule="auto"/>
            </w:pPr>
            <w:r>
              <w:rPr>
                <w:rFonts w:ascii="Times New Roman" w:hAnsi="Times New Roman" w:eastAsia="Times New Roman"/>
                <w:sz w:val="14"/>
              </w:rPr>
              <w:t>all declared directions stable; minimum effect-magnitude ratio = 0.615</w:t>
            </w:r>
          </w:p>
        </w:tc>
        <w:tc>
          <w:tcPr>
            <w:tcW w:type="dxa" w:w="1944"/>
            <w:shd w:fill="EAF3F5"/>
            <w:vAlign w:val="top"/>
          </w:tcPr>
          <w:p>
            <w:pPr>
              <w:spacing w:after="0" w:line="240" w:lineRule="auto"/>
            </w:pPr>
            <w:r>
              <w:rPr>
                <w:rFonts w:ascii="Times New Roman" w:hAnsi="Times New Roman" w:eastAsia="Times New Roman"/>
                <w:sz w:val="14"/>
              </w:rPr>
              <w:t>beta = -0.712; permutation P = 0.001; residual Moran P = 0.217</w:t>
            </w:r>
          </w:p>
        </w:tc>
        <w:tc>
          <w:tcPr>
            <w:tcW w:type="dxa" w:w="1800"/>
            <w:shd w:fill="EAF3F5"/>
            <w:vAlign w:val="top"/>
          </w:tcPr>
          <w:p>
            <w:pPr>
              <w:spacing w:after="0" w:line="240" w:lineRule="auto"/>
            </w:pPr>
            <w:r>
              <w:rPr>
                <w:rFonts w:ascii="Times New Roman" w:hAnsi="Times New Roman" w:eastAsia="Times New Roman"/>
                <w:sz w:val="14"/>
              </w:rPr>
              <w:t>P &lt; 0.05 on 52/52 trees; P range 2.39e-05-2.39e-05; lambda range 0.000-0.000</w:t>
            </w:r>
          </w:p>
        </w:tc>
      </w:tr>
      <w:tr>
        <w:tc>
          <w:tcPr>
            <w:tcW w:type="dxa" w:w="1872"/>
            <w:vAlign w:val="top"/>
          </w:tcPr>
          <w:p>
            <w:pPr>
              <w:spacing w:after="0" w:line="240" w:lineRule="auto"/>
            </w:pPr>
            <w:r>
              <w:rPr>
                <w:rFonts w:ascii="Times New Roman" w:hAnsi="Times New Roman" w:eastAsia="Times New Roman"/>
                <w:sz w:val="14"/>
              </w:rPr>
              <w:t>Larger image-referenced orientation angle with higher annual precipitation</w:t>
            </w:r>
          </w:p>
        </w:tc>
        <w:tc>
          <w:tcPr>
            <w:tcW w:type="dxa" w:w="1512"/>
            <w:vAlign w:val="top"/>
          </w:tcPr>
          <w:p>
            <w:pPr>
              <w:spacing w:after="0" w:line="240" w:lineRule="auto"/>
            </w:pPr>
            <w:r>
              <w:rPr>
                <w:rFonts w:ascii="Times New Roman" w:hAnsi="Times New Roman" w:eastAsia="Times New Roman"/>
                <w:sz w:val="14"/>
              </w:rPr>
              <w:t>n = 142; beta = +0.304; global BH q = 0.021</w:t>
            </w:r>
          </w:p>
        </w:tc>
        <w:tc>
          <w:tcPr>
            <w:tcW w:type="dxa" w:w="1800"/>
            <w:vAlign w:val="top"/>
          </w:tcPr>
          <w:p>
            <w:pPr>
              <w:spacing w:after="0" w:line="240" w:lineRule="auto"/>
            </w:pPr>
            <w:r>
              <w:rPr>
                <w:rFonts w:ascii="Times New Roman" w:hAnsi="Times New Roman" w:eastAsia="Times New Roman"/>
                <w:sz w:val="14"/>
              </w:rPr>
              <w:t>all declared directions stable; minimum effect-magnitude ratio = 0.781</w:t>
            </w:r>
          </w:p>
        </w:tc>
        <w:tc>
          <w:tcPr>
            <w:tcW w:type="dxa" w:w="1944"/>
            <w:vAlign w:val="top"/>
          </w:tcPr>
          <w:p>
            <w:pPr>
              <w:spacing w:after="0" w:line="240" w:lineRule="auto"/>
            </w:pPr>
            <w:r>
              <w:rPr>
                <w:rFonts w:ascii="Times New Roman" w:hAnsi="Times New Roman" w:eastAsia="Times New Roman"/>
                <w:sz w:val="14"/>
              </w:rPr>
              <w:t>beta = +0.286; permutation P = 0.017; residual Moran P = 0.082</w:t>
            </w:r>
          </w:p>
        </w:tc>
        <w:tc>
          <w:tcPr>
            <w:tcW w:type="dxa" w:w="1800"/>
            <w:vAlign w:val="top"/>
          </w:tcPr>
          <w:p>
            <w:pPr>
              <w:spacing w:after="0" w:line="240" w:lineRule="auto"/>
            </w:pPr>
            <w:r>
              <w:rPr>
                <w:rFonts w:ascii="Times New Roman" w:hAnsi="Times New Roman" w:eastAsia="Times New Roman"/>
                <w:sz w:val="14"/>
              </w:rPr>
              <w:t>P &lt; 0.05 on 52/52 trees; P range 2.01e-04-2.31e-04; lambda range 0.000-0.054</w:t>
            </w:r>
          </w:p>
        </w:tc>
      </w:tr>
    </w:tbl>
    <w:p>
      <w:r>
        <w:br w:type="page"/>
      </w:r>
    </w:p>
    <w:p>
      <w:pPr>
        <w:pStyle w:val="Heading1"/>
      </w:pPr>
      <w:r>
        <w:t>Figures</w:t>
      </w:r>
    </w:p>
    <w:p>
      <w:pPr>
        <w:keepNext/>
        <w:jc w:val="center"/>
      </w:pPr>
      <w:r>
        <w:drawing>
          <wp:inline xmlns:a="http://schemas.openxmlformats.org/drawingml/2006/main" xmlns:pic="http://schemas.openxmlformats.org/drawingml/2006/picture">
            <wp:extent cx="5760720" cy="3853089"/>
            <wp:docPr id="1" name="Picture 1" descr="Real thistle photographs, detector bounding boxes, tight and context crops, colour mask, outline geometry, orientation and representative continuous outputs, followed by the current 27 registered, 22 measured and five unexecuted contract." title="Real thistle photographs, detector bounding boxes, tight and context crops, colour mask, outline geometry, orientation and representative continuous outputs, followed by the current 27 registered, 22 measured and five unexecuted contract"/>
            <wp:cNvGraphicFramePr>
              <a:graphicFrameLocks noChangeAspect="1"/>
            </wp:cNvGraphicFramePr>
            <a:graphic>
              <a:graphicData uri="http://schemas.openxmlformats.org/drawingml/2006/picture">
                <pic:pic>
                  <pic:nvPicPr>
                    <pic:cNvPr id="0" name="Figure_1_v2_measurement_pipeline.png"/>
                    <pic:cNvPicPr/>
                  </pic:nvPicPr>
                  <pic:blipFill>
                    <a:blip r:embed="rId9"/>
                    <a:stretch>
                      <a:fillRect/>
                    </a:stretch>
                  </pic:blipFill>
                  <pic:spPr>
                    <a:xfrm>
                      <a:off x="0" y="0"/>
                      <a:ext cx="5760720" cy="3853089"/>
                    </a:xfrm>
                    <a:prstGeom prst="rect"/>
                  </pic:spPr>
                </pic:pic>
              </a:graphicData>
            </a:graphic>
          </wp:inline>
        </w:drawing>
      </w:r>
    </w:p>
    <w:p>
      <w:pPr>
        <w:keepLines/>
        <w:jc w:val="left"/>
      </w:pPr>
      <w:r>
        <w:rPr>
          <w:rFonts w:ascii="Times New Roman" w:hAnsi="Times New Roman" w:eastAsia="Times New Roman"/>
          <w:b/>
          <w:sz w:val="20"/>
        </w:rPr>
        <w:t>Figure 1. From public photographs to deterministic continuous measurements in the global Carduus-Cirsium thistle-capitulum study. Three open-licensed photographs and their detector/crop examples are presentation/source provenance only; all numerical result statements are current v2.</w:t>
      </w:r>
    </w:p>
    <w:p>
      <w:pPr>
        <w:keepNext/>
        <w:jc w:val="center"/>
      </w:pPr>
      <w:r>
        <w:drawing>
          <wp:inline xmlns:a="http://schemas.openxmlformats.org/drawingml/2006/main" xmlns:pic="http://schemas.openxmlformats.org/drawingml/2006/picture">
            <wp:extent cx="5760720" cy="3858036"/>
            <wp:docPr id="2" name="Picture 2" descr="World map of disclosure-safe observation density, locked filtering flow to 46,276 observations and 259 taxa, and the realized BIO1-BIO12 domain." title="World map of disclosure-safe observation density, locked filtering flow to 46,276 observations and 259 taxa, and the realized BIO1-BIO12 domain"/>
            <wp:cNvGraphicFramePr>
              <a:graphicFrameLocks noChangeAspect="1"/>
            </wp:cNvGraphicFramePr>
            <a:graphic>
              <a:graphicData uri="http://schemas.openxmlformats.org/drawingml/2006/picture">
                <pic:pic>
                  <pic:nvPicPr>
                    <pic:cNvPr id="0" name="Figure_2_v2_geographic_sampling_domain.png"/>
                    <pic:cNvPicPr/>
                  </pic:nvPicPr>
                  <pic:blipFill>
                    <a:blip r:embed="rId10"/>
                    <a:stretch>
                      <a:fillRect/>
                    </a:stretch>
                  </pic:blipFill>
                  <pic:spPr>
                    <a:xfrm>
                      <a:off x="0" y="0"/>
                      <a:ext cx="5760720" cy="3858036"/>
                    </a:xfrm>
                    <a:prstGeom prst="rect"/>
                  </pic:spPr>
                </pic:pic>
              </a:graphicData>
            </a:graphic>
          </wp:inline>
        </w:drawing>
      </w:r>
    </w:p>
    <w:p>
      <w:pPr>
        <w:keepLines/>
        <w:jc w:val="left"/>
      </w:pPr>
      <w:r>
        <w:rPr>
          <w:rFonts w:ascii="Times New Roman" w:hAnsi="Times New Roman" w:eastAsia="Times New Roman"/>
          <w:b/>
          <w:sz w:val="20"/>
        </w:rPr>
        <w:t>Figure 2. Realized global sampling domain of the frozen public-image cohort of thistle capitula. (a) Disclosure-safe observation density, (b) locked filtering flow to 46,276 observations and 259 source-assigned taxa, and (c) the realized annual-temperature (BIO1) and annual-precipitation (BIO12) domain. The panels do not establish representativeness.</w:t>
      </w:r>
    </w:p>
    <w:p>
      <w:pPr>
        <w:keepNext/>
        <w:jc w:val="center"/>
      </w:pPr>
      <w:r>
        <w:drawing>
          <wp:inline xmlns:a="http://schemas.openxmlformats.org/drawingml/2006/main" xmlns:pic="http://schemas.openxmlformats.org/drawingml/2006/picture">
            <wp:extent cx="5760720" cy="5155449"/>
            <wp:docPr id="3" name="Picture 3" descr="Horizontal bars compare raw and equal-replication variation below taxon means across 22 measured endpoints; the partition is not genetic variance." title="Horizontal bars compare raw and equal-replication variation below taxon means across 22 measured endpoints; the partition is not genetic variance"/>
            <wp:cNvGraphicFramePr>
              <a:graphicFrameLocks noChangeAspect="1"/>
            </wp:cNvGraphicFramePr>
            <a:graphic>
              <a:graphicData uri="http://schemas.openxmlformats.org/drawingml/2006/picture">
                <pic:pic>
                  <pic:nvPicPr>
                    <pic:cNvPr id="0" name="Figure_3_v2_taxon_mean_information_loss.png"/>
                    <pic:cNvPicPr/>
                  </pic:nvPicPr>
                  <pic:blipFill>
                    <a:blip r:embed="rId11"/>
                    <a:stretch>
                      <a:fillRect/>
                    </a:stretch>
                  </pic:blipFill>
                  <pic:spPr>
                    <a:xfrm>
                      <a:off x="0" y="0"/>
                      <a:ext cx="5760720" cy="5155449"/>
                    </a:xfrm>
                    <a:prstGeom prst="rect"/>
                  </pic:spPr>
                </pic:pic>
              </a:graphicData>
            </a:graphic>
          </wp:inline>
        </w:drawing>
      </w:r>
    </w:p>
    <w:p>
      <w:pPr>
        <w:keepLines/>
        <w:jc w:val="left"/>
      </w:pPr>
      <w:r>
        <w:rPr>
          <w:rFonts w:ascii="Times New Roman" w:hAnsi="Times New Roman" w:eastAsia="Times New Roman"/>
          <w:b/>
          <w:sz w:val="20"/>
        </w:rPr>
        <w:t>Figure 3. Visible image-phenotype variation compressed by source-assigned taxon means across the global public-image cohort of thistle capitula. Horizontal bars compare the raw observed sample with deterministic equal-replication resamples across 22 measured endpoints; the partition is not genetic variance.</w:t>
      </w:r>
    </w:p>
    <w:p>
      <w:pPr>
        <w:keepNext/>
        <w:jc w:val="center"/>
      </w:pPr>
      <w:r>
        <w:drawing>
          <wp:inline xmlns:a="http://schemas.openxmlformats.org/drawingml/2006/main" xmlns:pic="http://schemas.openxmlformats.org/drawingml/2006/picture">
            <wp:extent cx="5760720" cy="5311548"/>
            <wp:docPr id="4" name="Picture 4" descr="Complete heat map of 234 both-scale, within-only, among-only, neither and not-comparable rows; hue is a joint circular unit and unexecuted rows remain not comparable." title="Complete heat map of 234 both-scale, within-only, among-only, neither and not-comparable rows; hue is a joint circular unit and unexecuted rows remain not comparable"/>
            <wp:cNvGraphicFramePr>
              <a:graphicFrameLocks noChangeAspect="1"/>
            </wp:cNvGraphicFramePr>
            <a:graphic>
              <a:graphicData uri="http://schemas.openxmlformats.org/drawingml/2006/picture">
                <pic:pic>
                  <pic:nvPicPr>
                    <pic:cNvPr id="0" name="Figure_4_v2_within_among_scale_atlas.png"/>
                    <pic:cNvPicPr/>
                  </pic:nvPicPr>
                  <pic:blipFill>
                    <a:blip r:embed="rId12"/>
                    <a:stretch>
                      <a:fillRect/>
                    </a:stretch>
                  </pic:blipFill>
                  <pic:spPr>
                    <a:xfrm>
                      <a:off x="0" y="0"/>
                      <a:ext cx="5760720" cy="5311548"/>
                    </a:xfrm>
                    <a:prstGeom prst="rect"/>
                  </pic:spPr>
                </pic:pic>
              </a:graphicData>
            </a:graphic>
          </wp:inline>
        </w:drawing>
      </w:r>
    </w:p>
    <w:p>
      <w:pPr>
        <w:keepLines/>
        <w:jc w:val="left"/>
      </w:pPr>
      <w:r>
        <w:rPr>
          <w:rFonts w:ascii="Times New Roman" w:hAnsi="Times New Roman" w:eastAsia="Times New Roman"/>
          <w:b/>
          <w:sz w:val="20"/>
        </w:rPr>
        <w:t>Figure 4. Endpoint-specific environmental alignment within and among source-assigned thistle taxa across the global public-image cohort. The complete 234-row heat map distinguishes both-scale, within-only, among-only, neither and not-comparable rows; joint hue is one circular inferential unit.</w:t>
      </w:r>
    </w:p>
    <w:p>
      <w:pPr>
        <w:keepNext/>
        <w:jc w:val="center"/>
      </w:pPr>
      <w:r>
        <w:drawing>
          <wp:inline xmlns:a="http://schemas.openxmlformats.org/drawingml/2006/main" xmlns:pic="http://schemas.openxmlformats.org/drawingml/2006/picture">
            <wp:extent cx="5760720" cy="3348724"/>
            <wp:docPr id="5" name="Picture 5" descr="Flow from 234 canonical rows through among-taxon multiplicity, sampling annotation, broad-space and 52-tree placement gates, plus the evidence retained for chroma-radiation and orientation-precipitation." title="Flow from 234 canonical rows through among-taxon multiplicity, sampling annotation, broad-space and 52-tree placement gates, plus the evidence retained for chroma-radiation and orientation-precipitation"/>
            <wp:cNvGraphicFramePr>
              <a:graphicFrameLocks noChangeAspect="1"/>
            </wp:cNvGraphicFramePr>
            <a:graphic>
              <a:graphicData uri="http://schemas.openxmlformats.org/drawingml/2006/picture">
                <pic:pic>
                  <pic:nvPicPr>
                    <pic:cNvPr id="0" name="Figure_5_v2_candidate_robustness.png"/>
                    <pic:cNvPicPr/>
                  </pic:nvPicPr>
                  <pic:blipFill>
                    <a:blip r:embed="rId13"/>
                    <a:stretch>
                      <a:fillRect/>
                    </a:stretch>
                  </pic:blipFill>
                  <pic:spPr>
                    <a:xfrm>
                      <a:off x="0" y="0"/>
                      <a:ext cx="5760720" cy="3348724"/>
                    </a:xfrm>
                    <a:prstGeom prst="rect"/>
                  </pic:spPr>
                </pic:pic>
              </a:graphicData>
            </a:graphic>
          </wp:inline>
        </w:drawing>
      </w:r>
    </w:p>
    <w:p>
      <w:pPr>
        <w:keepLines/>
        <w:jc w:val="left"/>
      </w:pPr>
      <w:r>
        <w:rPr>
          <w:rFonts w:ascii="Times New Roman" w:hAnsi="Times New Roman" w:eastAsia="Times New Roman"/>
          <w:b/>
          <w:sz w:val="20"/>
        </w:rPr>
        <w:t>Figure 5. Sequential attrition and robustness of the two final candidate patterns in the global thistle-capitulum cohort. (a) The 234-row grid is reduced through among-taxon multiplicity, sampling annotation, broad-space and 52-tree placement gates; (b-c) retain the coefficient and gate evidence for chroma-radiation and image-referenced orientation-precipitation. Stability is not evidence of adaptation, convergence or mechanism.</w:t>
      </w:r>
    </w:p>
    <w:sectPr w:rsidR="00FC693F" w:rsidRPr="0006063C" w:rsidSect="00034616">
      <w:footerReference w:type="default" r:id="rId14"/>
      <w:pgSz w:w="11909" w:h="16834"/>
      <w:pgMar w:top="1296" w:right="1440" w:bottom="1296" w:left="1440" w:header="720" w:footer="720"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lvlText w:val="%1"/>
      <w:suff w:val="space"/>
      <w:lvlJc w:val="left"/>
    </w:lvl>
    <w:lvl w:ilvl="1">
      <w:start w:val="1"/>
      <w:numFmt w:val="decimal"/>
      <w:lvlText w:val="%1.%2"/>
      <w:suff w:val="space"/>
      <w:lvlJc w:val="left"/>
    </w:lvl>
    <w:lvl w:ilvl="2">
      <w:start w:val="1"/>
      <w:numFmt w:val="decimal"/>
      <w:lvlText w:val="%1.%2.%3"/>
      <w:suff w:val="space"/>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Blinded submission candidate; scientific HOLD retained.</dc:description>
  <cp:lastModifiedBy/>
  <cp:revision>1</cp:revision>
  <dcterms:created xsi:type="dcterms:W3CDTF">2013-12-23T23:15:00Z</dcterms:created>
  <dcterms:modified xsi:type="dcterms:W3CDTF">2013-12-23T23:15:00Z</dcterms:modified>
  <cp:category/>
</cp:coreProperties>
</file>