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2"/>
        </w:rPr>
        <w:t>Global image phenomics reveals hidden variation and scale-specific environmental geography in thistle capitula</w:t>
      </w:r>
    </w:p>
    <w:p>
      <w:pPr>
        <w:jc w:val="center"/>
      </w:pPr>
      <w:r>
        <w:rPr>
          <w:rFonts w:ascii="Times New Roman" w:hAnsi="Times New Roman" w:eastAsia="Times New Roman"/>
          <w:i/>
          <w:sz w:val="20"/>
        </w:rPr>
        <w:t>Blinded submission candidate — scientific HOLD retained</w:t>
      </w:r>
    </w:p>
    <w:p>
      <w:r>
        <w:br w:type="page"/>
      </w:r>
    </w:p>
    <w:p>
      <w:pPr>
        <w:pStyle w:val="Heading2"/>
      </w:pPr>
      <w:r>
        <w:t>Running title</w:t>
      </w:r>
    </w:p>
    <w:p>
      <w:r>
        <w:rPr>
          <w:rFonts w:ascii="Times New Roman" w:hAnsi="Times New Roman" w:eastAsia="Times New Roman"/>
          <w:sz w:val="23"/>
        </w:rPr>
        <w:t>Image phenomics of thistle traits</w:t>
      </w:r>
    </w:p>
    <w:p>
      <w:pPr>
        <w:pStyle w:val="Heading1"/>
      </w:pPr>
      <w:r>
        <w:t>Abstract</w:t>
      </w:r>
    </w:p>
    <w:p>
      <w:pPr>
        <w:pStyle w:val="Heading2"/>
      </w:pPr>
      <w:r>
        <w:t>Aim</w:t>
      </w:r>
    </w:p>
    <w:p>
      <w:r>
        <w:rPr>
          <w:rFonts w:ascii="Times New Roman" w:hAnsi="Times New Roman" w:eastAsia="Times New Roman"/>
          <w:sz w:val="23"/>
        </w:rPr>
        <w:t>To test whether public photographs preserve continuous capitulum variation that taxon means hide, and whether the resulting traits show robust, functionally coherent environmental patterns.</w:t>
      </w:r>
    </w:p>
    <w:p>
      <w:pPr>
        <w:pStyle w:val="Heading2"/>
      </w:pPr>
      <w:r>
        <w:t>Location</w:t>
      </w:r>
    </w:p>
    <w:p>
      <w:r>
        <w:rPr>
          <w:rFonts w:ascii="Times New Roman" w:hAnsi="Times New Roman" w:eastAsia="Times New Roman"/>
          <w:sz w:val="23"/>
        </w:rPr>
        <w:t>Global.</w:t>
      </w:r>
    </w:p>
    <w:p>
      <w:pPr>
        <w:pStyle w:val="Heading2"/>
      </w:pPr>
      <w:r>
        <w:t>Time period</w:t>
      </w:r>
    </w:p>
    <w:p>
      <w:r>
        <w:rPr>
          <w:rFonts w:ascii="Times New Roman" w:hAnsi="Times New Roman" w:eastAsia="Times New Roman"/>
          <w:sz w:val="23"/>
        </w:rPr>
        <w:t>Observations dated 1985–2026; climate normals for 1981–2010.</w:t>
      </w:r>
    </w:p>
    <w:p>
      <w:pPr>
        <w:pStyle w:val="Heading2"/>
      </w:pPr>
      <w:r>
        <w:t>Major taxa studied</w:t>
      </w:r>
    </w:p>
    <w:p>
      <w:r>
        <w:rPr>
          <w:rFonts w:ascii="Times New Roman" w:hAnsi="Times New Roman" w:eastAsia="Times New Roman"/>
          <w:sz w:val="23"/>
        </w:rPr>
        <w:t xml:space="preserve">Source-assigned </w:t>
      </w:r>
      <w:r>
        <w:rPr>
          <w:rFonts w:ascii="Times New Roman" w:hAnsi="Times New Roman" w:eastAsia="Times New Roman"/>
          <w:i/>
          <w:sz w:val="23"/>
        </w:rPr>
        <w:t>Cirsium</w:t>
      </w:r>
      <w:r>
        <w:rPr>
          <w:rFonts w:ascii="Times New Roman" w:hAnsi="Times New Roman" w:eastAsia="Times New Roman"/>
          <w:sz w:val="23"/>
        </w:rPr>
        <w:t xml:space="preserve"> and allied Cardueae, used as a replicated-radiation model system.</w:t>
      </w:r>
    </w:p>
    <w:p>
      <w:pPr>
        <w:pStyle w:val="Heading2"/>
      </w:pPr>
      <w:r>
        <w:t>Methods</w:t>
      </w:r>
    </w:p>
    <w:p>
      <w:r>
        <w:rPr>
          <w:rFonts w:ascii="Times New Roman" w:hAnsi="Times New Roman" w:eastAsia="Times New Roman"/>
          <w:sz w:val="23"/>
        </w:rPr>
        <w:t>An object detector located visible capitula in 46,276 spatially thinned observations from 259 taxa. Deterministic image functions then measured orientation, visible colour, outline and finer geometry under a frozen 27-endpoint contract. Twenty-two endpoints were measured, and five remained explicitly unexecuted. Within- and among-taxon models tested nine predictors in six predeclared blocks. Robustness checks covered global multiplicity, sampling composition, broad spatial structure, residual spatial autocorrelation and 52 historical-placement trees. A complete-18 analysis assessed morphospace and trait organization.</w:t>
      </w:r>
    </w:p>
    <w:p>
      <w:pPr>
        <w:pStyle w:val="Heading2"/>
      </w:pPr>
      <w:r>
        <w:t>Results</w:t>
      </w:r>
    </w:p>
    <w:p>
      <w:r>
        <w:rPr>
          <w:rFonts w:ascii="Times New Roman" w:hAnsi="Times New Roman" w:eastAsia="Times New Roman"/>
          <w:sz w:val="23"/>
        </w:rPr>
        <w:t>Taxon means compressed 81.4–98.6% of raw visible variation and 28.7–58.5% after equalizing replication. Among 234 endpoint-gradient rows, seven were supported at both scales, 18 within taxa only, three among taxa only, 152 at neither scale and 54 were not comparable. Two among-taxon patterns—lower chroma with higher shortwave radiation and a larger image-referenced orientation angle with higher annual precipitation—passed every sequential gate. The 18-endpoint morphospace remained multidimensional: three principal components explained 42.3%, and within- and among-taxon association geometries were only partly aligned (Spearman = 0.3663).</w:t>
      </w:r>
    </w:p>
    <w:p>
      <w:pPr>
        <w:pStyle w:val="Heading2"/>
      </w:pPr>
      <w:r>
        <w:t>Main conclusions</w:t>
      </w:r>
    </w:p>
    <w:p>
      <w:r>
        <w:rPr>
          <w:rFonts w:ascii="Times New Roman" w:hAnsi="Times New Roman" w:eastAsia="Times New Roman"/>
          <w:sz w:val="23"/>
        </w:rPr>
        <w:t>The methodological result is that public photographs preserve repeated, coordinate-bearing phenotype distributions that categories and taxon means lose. The ecological result is that environmental organization depends on trait and scale. The two retained patterns agree with independent evidence for radiation-responsive floral pigmentation and protective downward floral presentation. They are priority candidates for direct tests, not demonstrations of pigment mediation, gravity-referenced orientation, mechanism, selection or adaptation.</w:t>
      </w:r>
    </w:p>
    <w:p>
      <w:pPr>
        <w:pStyle w:val="Heading2"/>
      </w:pPr>
      <w:r>
        <w:t>Keywords</w:t>
      </w:r>
    </w:p>
    <w:p>
      <w:r>
        <w:rPr>
          <w:rFonts w:ascii="Times New Roman" w:hAnsi="Times New Roman" w:eastAsia="Times New Roman"/>
          <w:i/>
          <w:sz w:val="23"/>
        </w:rPr>
        <w:t>Cirsium</w:t>
      </w:r>
      <w:r>
        <w:rPr>
          <w:rFonts w:ascii="Times New Roman" w:hAnsi="Times New Roman" w:eastAsia="Times New Roman"/>
          <w:sz w:val="23"/>
        </w:rPr>
        <w:t>, citizen science, continuous traits, environmental gradients, image phenomics, intraspecific variation, spatial ecology, thistles</w:t>
      </w:r>
    </w:p>
    <w:p>
      <w:pPr>
        <w:pStyle w:val="Heading1"/>
        <w:numPr>
          <w:ilvl w:val="0"/>
          <w:numId w:val="10"/>
        </w:numPr>
      </w:pPr>
      <w:r>
        <w:t>Introduction</w:t>
      </w:r>
    </w:p>
    <w:p>
      <w:r>
        <w:rPr>
          <w:rFonts w:ascii="Times New Roman" w:hAnsi="Times New Roman" w:eastAsia="Times New Roman"/>
          <w:sz w:val="23"/>
        </w:rPr>
        <w:t>Most global trait datasets give each species one or a few characteristic values. This makes broad comparisons possible, but it hides variation among populations and individuals. Such variation can affect niche breadth, species interactions and coexistence (Messier et al. 2010; Albert et al. 2011; Bolnick et al. 2011; Violle et al. 2012). It can also form a large part of community-level plant trait variation (Siefert et al. 2015). TRY and BIEN have transformed cross-species ecology (Kattge et al. 2011, 2020; Maitner et al. 2018), yet both must rely heavily on taxon summaries and unevenly repeated measurements. We therefore need a complementary way to map the distribution of phenotype itself.</w:t>
      </w:r>
    </w:p>
    <w:p>
      <w:r>
        <w:rPr>
          <w:rFonts w:ascii="Times New Roman" w:hAnsi="Times New Roman" w:eastAsia="Times New Roman"/>
          <w:sz w:val="23"/>
        </w:rPr>
        <w:t>Categories cause a second loss of information. Plant characters are often described as upright or nodding, pale or pigmented, globose or elongate, and strongly or weakly armed. These states are useful for identification, but many underlying phenotypes vary continuously. Numerical traits retain distances within and between categories. They let us ask how much a phenotype varies, where it varies and whether different parts of a structure follow different environmental gradients.</w:t>
      </w:r>
    </w:p>
    <w:p>
      <w:r>
        <w:rPr>
          <w:rFonts w:ascii="Times New Roman" w:hAnsi="Times New Roman" w:eastAsia="Times New Roman"/>
          <w:sz w:val="23"/>
        </w:rPr>
        <w:t>Public biodiversity photographs may provide these repeated measurements. Computer vision already detects and identifies organisms in varied citizen-science images (Van Horn et al. 2018; Wäldchen &amp; Mäder 2018; Rzanny et al. 2019), and multimodal methods are beginning to infer continuous plant traits (Sharma et al. 2026). A visible structure can be represented by an angle, colour coordinate, outline statistic or contour metric. Repeated photographs can then become a geographic sample of visible phenotype, not just a list of photographed species.</w:t>
      </w:r>
    </w:p>
    <w:p>
      <w:r>
        <w:rPr>
          <w:rFonts w:ascii="Times New Roman" w:hAnsi="Times New Roman" w:eastAsia="Times New Roman"/>
          <w:sz w:val="23"/>
        </w:rPr>
        <w:t>Large image collections are not unbiased samples. Observer behaviour, access and taxonomic preference affect which records exist (Troudet et al. 2017; Di Cecco et al. 2021). Light, camera processing, occlusion and viewpoint affect colour, orientation and contour measurements. An unassessable photograph does not show that a trait is absent. Image phenomics must therefore keep trait-specific missingness, measurement provenance and the nesting of heads within photographs. Its measurements are visible image phenotypes, not error-free biological traits.</w:t>
      </w:r>
    </w:p>
    <w:p>
      <w:r>
        <w:rPr>
          <w:rFonts w:ascii="Times New Roman" w:hAnsi="Times New Roman" w:eastAsia="Times New Roman"/>
          <w:sz w:val="23"/>
        </w:rPr>
        <w:t>Biological scale also matters. A trait-environment relationship may occur because one taxon varies across its range, because taxa with different median phenotypes live in different environments, or because both traits and environments follow shared history. These patterns answer different questions. Within-taxon models describe spatial covariation after removing fixed differences among taxa. Among-taxon models describe environmental sorting of taxon medians and need added checks for shared history. A within-taxon gradient is not proof of plasticity, and an among-taxon gradient cannot be read as the same process at a larger scale.</w:t>
      </w:r>
    </w:p>
    <w:p>
      <w:r>
        <w:rPr>
          <w:rFonts w:ascii="Times New Roman" w:hAnsi="Times New Roman" w:eastAsia="Times New Roman"/>
          <w:sz w:val="23"/>
        </w:rPr>
        <w:t>The Asteraceae capitulum is well suited to this test. It is a flower-like structure in which orientation, corolla colour, gross outline and involucral architecture occur together. These components may share some organization, as floral integration theory predicts (Diggle 2014), but they need not share one geographic pattern. We can first measure each component and then ask whether the whole structure reduces to one syndrome.</w:t>
      </w:r>
    </w:p>
    <w:p>
      <w:r>
        <w:rPr>
          <w:rFonts w:ascii="Times New Roman" w:hAnsi="Times New Roman" w:eastAsia="Times New Roman"/>
          <w:sz w:val="23"/>
        </w:rPr>
        <w:t xml:space="preserve">Thistles provide a strong comparative system. The Carduus-Cirsium group is photographed often and varies widely in capitulum orientation, colour, outline and involucral form. It also contains separate rapid regional radiations rather than one diversification event. Genus-wide phylogenomics identifies rapid Pleistocene radiations after dispersal into Japan and North America (Moreyra et al. 2025). North American </w:t>
      </w:r>
      <w:r>
        <w:rPr>
          <w:rFonts w:ascii="Times New Roman" w:hAnsi="Times New Roman" w:eastAsia="Times New Roman"/>
          <w:i/>
          <w:sz w:val="23"/>
        </w:rPr>
        <w:t>Cirsium</w:t>
      </w:r>
      <w:r>
        <w:rPr>
          <w:rFonts w:ascii="Times New Roman" w:hAnsi="Times New Roman" w:eastAsia="Times New Roman"/>
          <w:sz w:val="23"/>
        </w:rPr>
        <w:t xml:space="preserve"> diversified across a continent where precipitation and semiaridity were associated with diversification dynamics (Siniscalchi et al. 2023). The Japanese radiation followed an early-Pleistocene colonization and produced extensive regional endemism. These histories do not show that every regional radiation was adaptive. They do make thistles a useful test of whether categories and taxon means hide repeated phenotypic diversity.</w:t>
      </w:r>
    </w:p>
    <w:p>
      <w:r>
        <w:rPr>
          <w:rFonts w:ascii="Times New Roman" w:hAnsi="Times New Roman" w:eastAsia="Times New Roman"/>
          <w:sz w:val="23"/>
        </w:rPr>
        <w:t xml:space="preserve">The measured components also have distinct possible functions. Floral orientation can change radiation load, temperature, rain exposure, pollinator presentation and reproductive performance (Chen et al. 2013; van der Kooi et al. 2019; Creux et al. 2021). Summer-blooming Cardueae, including </w:t>
      </w:r>
      <w:r>
        <w:rPr>
          <w:rFonts w:ascii="Times New Roman" w:hAnsi="Times New Roman" w:eastAsia="Times New Roman"/>
          <w:i/>
          <w:sz w:val="23"/>
        </w:rPr>
        <w:t>Cirsium</w:t>
      </w:r>
      <w:r>
        <w:rPr>
          <w:rFonts w:ascii="Times New Roman" w:hAnsi="Times New Roman" w:eastAsia="Times New Roman"/>
          <w:sz w:val="23"/>
        </w:rPr>
        <w:t xml:space="preserve">, can keep capitula cooler than the surrounding air (Herrera 2025). Visible floral colour may respond to temperature, drought, soil chemistry, herbivory and pollinators (Narbona et al. 2018; Vaidya et al. 2018; Borghi et al. 2019; Dalrymple et al. 2020; Sullivan &amp; Koski 2021; Grossenbacher et al. 2026). In </w:t>
      </w:r>
      <w:r>
        <w:rPr>
          <w:rFonts w:ascii="Times New Roman" w:hAnsi="Times New Roman" w:eastAsia="Times New Roman"/>
          <w:i/>
          <w:sz w:val="23"/>
        </w:rPr>
        <w:t>Cirsium palustre</w:t>
      </w:r>
      <w:r>
        <w:rPr>
          <w:rFonts w:ascii="Times New Roman" w:hAnsi="Times New Roman" w:eastAsia="Times New Roman"/>
          <w:sz w:val="23"/>
        </w:rPr>
        <w:t xml:space="preserve">, purple, white and intermediate morphs varied with exposure, population size and year; white flowers sometimes received more pollinator visits (Mogford 1972, 1974a,b, 1978). White-flowered </w:t>
      </w:r>
      <w:r>
        <w:rPr>
          <w:rFonts w:ascii="Times New Roman" w:hAnsi="Times New Roman" w:eastAsia="Times New Roman"/>
          <w:i/>
          <w:sz w:val="23"/>
        </w:rPr>
        <w:t>Cirsium</w:t>
      </w:r>
      <w:r>
        <w:rPr>
          <w:rFonts w:ascii="Times New Roman" w:hAnsi="Times New Roman" w:eastAsia="Times New Roman"/>
          <w:sz w:val="23"/>
        </w:rPr>
        <w:t xml:space="preserve"> also occurs in East Asia (Kitamura 1932), but colour alone does not define evolutionary lineages in the Taiwanese </w:t>
      </w:r>
      <w:r>
        <w:rPr>
          <w:rFonts w:ascii="Times New Roman" w:hAnsi="Times New Roman" w:eastAsia="Times New Roman"/>
          <w:i/>
          <w:sz w:val="23"/>
        </w:rPr>
        <w:t>C. japonicum</w:t>
      </w:r>
      <w:r>
        <w:rPr>
          <w:rFonts w:ascii="Times New Roman" w:hAnsi="Times New Roman" w:eastAsia="Times New Roman"/>
          <w:sz w:val="23"/>
        </w:rPr>
        <w:t xml:space="preserve"> complex (Chang et al. 2026). Floral displays and scent can attract pollinators and antagonists (Ohashi &amp; Yahara 1998, 2000, 2002; Theis 2006; Theis et al. 2007), and visually defensive structures do not always have their assumed function (Hanley et al. 2007). These studies suggest functions to test; they do not tell us in advance which global associations should appear.</w:t>
      </w:r>
    </w:p>
    <w:p>
      <w:r>
        <w:rPr>
          <w:rFonts w:ascii="Times New Roman" w:hAnsi="Times New Roman" w:eastAsia="Times New Roman"/>
          <w:sz w:val="23"/>
        </w:rPr>
        <w:t>Environmental design needs the same restraint. Temperature and precipitation offer a clear low-dimensional baseline. Radiation, atmospheric drying, wind, growing-season water input and potential productivity may add relevant information. We therefore used predeclared predictor blocks and asked whether they added information beyond the climate core. We did not search an expanding set of rasters after seeing the trait results.</w:t>
      </w:r>
    </w:p>
    <w:p>
      <w:r>
        <w:rPr>
          <w:rFonts w:ascii="Times New Roman" w:hAnsi="Times New Roman" w:eastAsia="Times New Roman"/>
          <w:sz w:val="23"/>
        </w:rPr>
        <w:t xml:space="preserve">Historical control is important, but history is not the endpoint here. New World </w:t>
      </w:r>
      <w:r>
        <w:rPr>
          <w:rFonts w:ascii="Times New Roman" w:hAnsi="Times New Roman" w:eastAsia="Times New Roman"/>
          <w:i/>
          <w:sz w:val="23"/>
        </w:rPr>
        <w:t>Cirsium</w:t>
      </w:r>
      <w:r>
        <w:rPr>
          <w:rFonts w:ascii="Times New Roman" w:hAnsi="Times New Roman" w:eastAsia="Times New Roman"/>
          <w:sz w:val="23"/>
        </w:rPr>
        <w:t xml:space="preserve"> combines high ecological diversity with low nuclear-rDNA divergence (Kelch &amp; Baldwin 2003). Hybridization, polyploidy and incomplete sampling also weaken a single bifurcating account of trait history (Ackerfield et al. 2020; Bureš et al. 2024; Chang et al. 2026). We therefore used available phylogenetic placements only as a robustness check for present among-taxon associations. They cannot identify independent origins, adaptive radiation or convergence.</w:t>
      </w:r>
    </w:p>
    <w:p>
      <w:r>
        <w:rPr>
          <w:rFonts w:ascii="Times New Roman" w:hAnsi="Times New Roman" w:eastAsia="Times New Roman"/>
          <w:sz w:val="23"/>
        </w:rPr>
        <w:t>This study makes two linked contributions. The methodological test asks whether public photographs preserve repeated, spatially explicit continuous phenotypes that categories and taxon means lose. The ecological test asks whether those phenotypes show robust and functionally interpretable environmental geography. We asked four questions: (1) how much visible variation is compressed by one taxon mean; (2) which predeclared gradients align with orientation, colour, outline and finer geometry; (3) at which biological scale does each pattern occur, and does it survive sampling, spatial and historical checks; and (4) do the endpoints form one whole-capitulum syndrome or remain multidimensional?</w:t>
      </w:r>
    </w:p>
    <w:p>
      <w:r>
        <w:rPr>
          <w:rFonts w:ascii="Times New Roman" w:hAnsi="Times New Roman" w:eastAsia="Times New Roman"/>
          <w:sz w:val="23"/>
        </w:rPr>
        <w:t>The endpoint is a bounded description of present phenotype geography. Each trait definition, uncertainty, distribution, association, scale and robustness status remains explicit. Future studies can test function and reconstruct history from these candidates. Claims about independent origins, convergence or adaptation will require nuclear ancestry, explicit origin tests, comparable selection pressures and reproductive-fitness evidence.</w:t>
      </w:r>
    </w:p>
    <w:p>
      <w:pPr>
        <w:pStyle w:val="Heading1"/>
        <w:numPr>
          <w:ilvl w:val="0"/>
          <w:numId w:val="10"/>
        </w:numPr>
      </w:pPr>
      <w:r>
        <w:t>Methods</w:t>
      </w:r>
    </w:p>
    <w:p>
      <w:pPr>
        <w:pStyle w:val="Heading2"/>
        <w:numPr>
          <w:ilvl w:val="1"/>
          <w:numId w:val="10"/>
        </w:numPr>
      </w:pPr>
      <w:r>
        <w:t>Study design and spatial cohort</w:t>
      </w:r>
    </w:p>
    <w:p>
      <w:r>
        <w:rPr>
          <w:rFonts w:ascii="Times New Roman" w:hAnsi="Times New Roman" w:eastAsia="Times New Roman"/>
          <w:sz w:val="23"/>
        </w:rPr>
        <w:t xml:space="preserve">We used public biodiversity photographs to quantify continuous capitulum phenotypes across source-assigned taxa of </w:t>
      </w:r>
      <w:r>
        <w:rPr>
          <w:rFonts w:ascii="Times New Roman" w:hAnsi="Times New Roman" w:eastAsia="Times New Roman"/>
          <w:i/>
          <w:sz w:val="23"/>
        </w:rPr>
        <w:t>Cirsium</w:t>
      </w:r>
      <w:r>
        <w:rPr>
          <w:rFonts w:ascii="Times New Roman" w:hAnsi="Times New Roman" w:eastAsia="Times New Roman"/>
          <w:sz w:val="23"/>
        </w:rPr>
        <w:t xml:space="preserve"> and allied Cardueae. Source names were retained as operational taxonomic units because the photograph records do not resolve a genus-wide taxonomy. The analysis unit was a coordinate-bearing observation rather than one species-level database row.</w:t>
      </w:r>
    </w:p>
    <w:p>
      <w:r>
        <w:rPr>
          <w:rFonts w:ascii="Times New Roman" w:hAnsi="Times New Roman" w:eastAsia="Times New Roman"/>
          <w:sz w:val="23"/>
        </w:rPr>
        <w:t>The exhaustive source stream contained 406,582 detector-positive observations from 286 taxa. Coordinate filtering retained 392,989 observations from 271 taxa, and a positional-accuracy threshold of 10 km retained 297,293 observations from 259 taxa. Before examining trait values, we retained one observation per taxon by 0.25-degree cell, yielding the frozen spatial cohort of 46,276 observations from 259 taxa. Dates ranged from 1985 to 2026. Missing or unassessable image measurements were never encoded as biological absence or zero (Figure 2; Table 1; Table S2).</w:t>
      </w:r>
    </w:p>
    <w:p>
      <w:pPr>
        <w:pStyle w:val="Heading2"/>
        <w:numPr>
          <w:ilvl w:val="1"/>
          <w:numId w:val="10"/>
        </w:numPr>
      </w:pPr>
      <w:r>
        <w:t>From photographs to a 27-endpoint continuous-trait contract</w:t>
      </w:r>
    </w:p>
    <w:p>
      <w:r>
        <w:rPr>
          <w:rFonts w:ascii="Times New Roman" w:hAnsi="Times New Roman" w:eastAsia="Times New Roman"/>
          <w:sz w:val="23"/>
        </w:rPr>
        <w:t>A single-class YOLO11n detector localized visible capitula at a confidence threshold of 0.25. Detection defined image regions of interest only; downstream traits were calculated with deterministic image functions. The category-free contract registered 27 continuous endpoints across orientation, visible corolla colour, gross outline, floral display, involucral architecture, armature-like projection geometry and validation-only surface-image modules.</w:t>
      </w:r>
    </w:p>
    <w:p>
      <w:r>
        <w:rPr>
          <w:rFonts w:ascii="Times New Roman" w:hAnsi="Times New Roman" w:eastAsia="Times New Roman"/>
          <w:sz w:val="23"/>
        </w:rPr>
        <w:t>Orientation was the signed head-axis angle relative to EXIF-oriented image vertical: 0 degrees upward, 90 degrees horizontal and 180 degrees downward. Image vertical is reproducible but is not a gravity measurement. Colour was represented in visible CIELAB space by lightness, chroma and the sine and cosine of circular hue. Outline and contour variables were dimensionless ratios or normalized geometry. Fine involucral, armature-like and surface endpoints were retained as image phenotypes and were not relabelled as botanical spine length, stiffness, hair density, glands or secretion.</w:t>
      </w:r>
    </w:p>
    <w:p>
      <w:r>
        <w:rPr>
          <w:rFonts w:ascii="Times New Roman" w:hAnsi="Times New Roman" w:eastAsia="Times New Roman"/>
          <w:sz w:val="23"/>
        </w:rPr>
        <w:t xml:space="preserve">The final artifact-backed run measured 22 of 27 endpoints. Eighteen of 19 inferential endpoints were available; </w:t>
      </w:r>
      <w:r>
        <w:rPr>
          <w:rFonts w:ascii="Consolas" w:hAnsi="Consolas" w:eastAsia="Consolas"/>
          <w:sz w:val="19"/>
        </w:rPr>
        <w:t>visible_floret_fraction</w:t>
      </w:r>
      <w:r>
        <w:rPr>
          <w:rFonts w:ascii="Times New Roman" w:hAnsi="Times New Roman" w:eastAsia="Times New Roman"/>
          <w:sz w:val="23"/>
        </w:rPr>
        <w:t xml:space="preserve"> and four descriptive colour-composition fractions remained explicit </w:t>
      </w:r>
      <w:r>
        <w:rPr>
          <w:rFonts w:ascii="Consolas" w:hAnsi="Consolas" w:eastAsia="Consolas"/>
          <w:sz w:val="19"/>
        </w:rPr>
        <w:t>unexecuted_no_measurement</w:t>
      </w:r>
      <w:r>
        <w:rPr>
          <w:rFonts w:ascii="Times New Roman" w:hAnsi="Times New Roman" w:eastAsia="Times New Roman"/>
          <w:sz w:val="23"/>
        </w:rPr>
        <w:t xml:space="preserve"> rows. Hue sine and cosine formed one joint circular inferential unit, producing 26 units from the 27 registered endpoints (Figure 1; Table S1).</w:t>
      </w:r>
    </w:p>
    <w:p>
      <w:pPr>
        <w:pStyle w:val="Heading2"/>
        <w:numPr>
          <w:ilvl w:val="1"/>
          <w:numId w:val="10"/>
        </w:numPr>
      </w:pPr>
      <w:r>
        <w:t>Trait geography and information retained below taxon means</w:t>
      </w:r>
    </w:p>
    <w:p>
      <w:r>
        <w:rPr>
          <w:rFonts w:ascii="Times New Roman" w:hAnsi="Times New Roman" w:eastAsia="Times New Roman"/>
          <w:sz w:val="23"/>
        </w:rPr>
        <w:t>For every endpoint we recorded observation and taxon counts, latitude and longitude limits, and occupancy in 5-degree geographic cells. To quantify information compressed by a one-row-per-taxon database, we decomposed total observation-level sums of squares into variation below and between source-assigned taxon means. Because abundant taxa could dominate the raw partition, we also ran 500 deterministic equal-replication resamples with two observations per eligible taxon. These quantities describe visible image-phenotype variation; they are not heritability, genetic variance or plasticity estimates (Figure 3; Table S3).</w:t>
      </w:r>
    </w:p>
    <w:p>
      <w:pPr>
        <w:pStyle w:val="Heading2"/>
        <w:numPr>
          <w:ilvl w:val="1"/>
          <w:numId w:val="10"/>
        </w:numPr>
      </w:pPr>
      <w:r>
        <w:t>Six predeclared environmental blocks</w:t>
      </w:r>
    </w:p>
    <w:p>
      <w:r>
        <w:rPr>
          <w:rFonts w:ascii="Times New Roman" w:hAnsi="Times New Roman" w:eastAsia="Times New Roman"/>
          <w:sz w:val="23"/>
        </w:rPr>
        <w:t>Nine predictors formed six biological hypothesis blocks. Thermal conditions comprised annual mean temperature and temperature seasonality (CHELSA BIO1 and BIO4). Hydric conditions comprised annual precipitation and precipitation seasonality (BIO12 and BIO15). Radiative and atmospheric exposure comprised mean shortwave radiation and vapour-pressure deficit. Mechanical exposure was represented by mean near-surface wind. Growing-season water input was represented by climatic growing-season precipitation, and resource/productivity by modelled potential net primary productivity. Growing-season precipitation was not taxon-specific flowering-season rainfall, and potential NPP was not measured local resource supply.</w:t>
      </w:r>
    </w:p>
    <w:p>
      <w:r>
        <w:rPr>
          <w:rFonts w:ascii="Times New Roman" w:hAnsi="Times New Roman" w:eastAsia="Times New Roman"/>
          <w:sz w:val="23"/>
        </w:rPr>
        <w:t>All predictors had to retain at least 98% coverage in the phenotype-blind spatial cohort. The nine-variable environmental table was constructed before endpoint-specific missingness filtering; no unavailable variable could be substituted after observing trait associations.</w:t>
      </w:r>
    </w:p>
    <w:p>
      <w:pPr>
        <w:pStyle w:val="Heading2"/>
        <w:numPr>
          <w:ilvl w:val="1"/>
          <w:numId w:val="10"/>
        </w:numPr>
      </w:pPr>
      <w:r>
        <w:t>Within- and among-taxon environmental associations</w:t>
      </w:r>
    </w:p>
    <w:p>
      <w:r>
        <w:rPr>
          <w:rFonts w:ascii="Times New Roman" w:hAnsi="Times New Roman" w:eastAsia="Times New Roman"/>
          <w:sz w:val="23"/>
        </w:rPr>
        <w:t>Within-taxon models used taxon-demeaned standardized traits and predictors, no intercept, and taxon-clustered standard errors. Eligibility required at least 100 observations, ten taxa and two observations per retained taxon. Joint hue used the magnitude and direction of its standardized sine and cosine coefficients under 9,999 permutations restricted within taxa.</w:t>
      </w:r>
    </w:p>
    <w:p>
      <w:r>
        <w:rPr>
          <w:rFonts w:ascii="Times New Roman" w:hAnsi="Times New Roman" w:eastAsia="Times New Roman"/>
          <w:sz w:val="23"/>
        </w:rPr>
        <w:t>Among-taxon models paired taxon trait medians with taxon environmental medians. The primary scope required at least five trait observations per taxon and at least 20 taxa; a separately corrected sensitivity required two observations. Linear endpoints used standardized univariate slopes and 9,999 taxon-label permutations. Joint hue used paired permutations of the sine and cosine slopes.</w:t>
      </w:r>
    </w:p>
    <w:p>
      <w:r>
        <w:rPr>
          <w:rFonts w:ascii="Times New Roman" w:hAnsi="Times New Roman" w:eastAsia="Times New Roman"/>
          <w:sz w:val="23"/>
        </w:rPr>
        <w:t>Benjamini-Hochberg correction formed one global family across all successful unit by predictor rows separately for within taxa, among-taxon minimum-five and among-taxon minimum-two scopes. Historical endpoint tiers did not split multiplicity or remove rows. Each primary minimum-five row was classified as supported at both scales, within taxa only, among taxa only, neither, or not comparable (Figure 4; Tables S4–S6).</w:t>
      </w:r>
    </w:p>
    <w:p>
      <w:pPr>
        <w:pStyle w:val="Heading2"/>
        <w:numPr>
          <w:ilvl w:val="1"/>
          <w:numId w:val="10"/>
        </w:numPr>
      </w:pPr>
      <w:r>
        <w:t>Sampling-composition sensitivity</w:t>
      </w:r>
    </w:p>
    <w:p>
      <w:r>
        <w:rPr>
          <w:rFonts w:ascii="Times New Roman" w:hAnsi="Times New Roman" w:eastAsia="Times New Roman"/>
          <w:sz w:val="23"/>
        </w:rPr>
        <w:t>Every globally FDR-supported row entered a separately frozen retrospective sensitivity; all atlas rows remained reported regardless of entry. Sampling perturbations were selected without using trait outcomes. Within-taxon rows were refitted with equal total weight per taxon. Both scales omitted each of the ten most observed taxa separately and the two most observed taxa jointly, omitted each of six broad geographic regions separately, and retained only observations explicitly classified as native by the frozen WCVP/TDWG join. Linear rows had to retain coefficient sign; circular rows had to remain within 90 degrees of the original coefficient vector. We reported direction and effect-magnitude stability only and calculated no post-selection P or q values (Figure 5; Table S7; Figure S2).</w:t>
      </w:r>
    </w:p>
    <w:p>
      <w:pPr>
        <w:pStyle w:val="Heading2"/>
        <w:numPr>
          <w:ilvl w:val="1"/>
          <w:numId w:val="10"/>
        </w:numPr>
      </w:pPr>
      <w:r>
        <w:t>Broad-space and historical-placement sensitivity</w:t>
      </w:r>
    </w:p>
    <w:p>
      <w:r>
        <w:rPr>
          <w:rFonts w:ascii="Times New Roman" w:hAnsi="Times New Roman" w:eastAsia="Times New Roman"/>
          <w:sz w:val="23"/>
        </w:rPr>
        <w:t>Globally FDR-supported rows were refitted with a second-order spherical-coordinate basis. Passage required a spatial permutation P below 0.05, preserved sign for a linear endpoint and residual eight-nearest-neighbour Moran P of at least 0.05. This was a broad geographic sensitivity, not removal of every spatial process.</w:t>
      </w:r>
    </w:p>
    <w:p>
      <w:r>
        <w:rPr>
          <w:rFonts w:ascii="Times New Roman" w:hAnsi="Times New Roman" w:eastAsia="Times New Roman"/>
          <w:sz w:val="23"/>
        </w:rPr>
        <w:t>Among-taxon rows passing the broad-space gate were then fitted by univariate Pagel-lambda PGLS on 52 audited dated-backbone placement trees: two deterministic scenarios and 50 randomized within-genus placements. A final candidate had to retain direction and P below 0.05 on every tree. Because only 54 historical-atlas taxa were direct backbone tips, this procedure is a placement sensitivity rather than a resolved species-tree correction (Figure 5; Table 2; Table S8; Figures S3-S4).</w:t>
      </w:r>
    </w:p>
    <w:p>
      <w:pPr>
        <w:pStyle w:val="Heading2"/>
        <w:numPr>
          <w:ilvl w:val="1"/>
          <w:numId w:val="10"/>
        </w:numPr>
      </w:pPr>
      <w:r>
        <w:t>Secondary whole-capitulum synthesis</w:t>
      </w:r>
    </w:p>
    <w:p>
      <w:r>
        <w:rPr>
          <w:rFonts w:ascii="Times New Roman" w:hAnsi="Times New Roman" w:eastAsia="Times New Roman"/>
          <w:sz w:val="23"/>
        </w:rPr>
        <w:t>After endpoint-level inference was complete, a secondary complete-18 analysis asked whether the measured traits reduced to one capitulum syndrome. Standardized taxon medians were analysed by principal components, and within- versus among-taxon association matrices were compared by measurement module. This synthesis did not select endpoints or alter the endpoint-level multiplicity families (Table S9).</w:t>
      </w:r>
    </w:p>
    <w:p>
      <w:pPr>
        <w:pStyle w:val="Heading2"/>
        <w:numPr>
          <w:ilvl w:val="1"/>
          <w:numId w:val="10"/>
        </w:numPr>
      </w:pPr>
      <w:r>
        <w:t>Claim boundary</w:t>
      </w:r>
    </w:p>
    <w:p>
      <w:r>
        <w:rPr>
          <w:rFonts w:ascii="Times New Roman" w:hAnsi="Times New Roman" w:eastAsia="Times New Roman"/>
          <w:sz w:val="23"/>
        </w:rPr>
        <w:t>The study is a retrospective exploratory analysis of visible image phenotypes and their present spatial associations. It does not identify plasticity, local adaptation, selection, causal environmental mechanisms, botanical identity of validation-only proxies, independent evolutionary origins or convergence. The two final rows are termed adaptive-pattern candidates under current sequential controls, not demonstrations of adaptation.</w:t>
      </w:r>
    </w:p>
    <w:p>
      <w:pPr>
        <w:pStyle w:val="Heading1"/>
        <w:numPr>
          <w:ilvl w:val="0"/>
          <w:numId w:val="10"/>
        </w:numPr>
      </w:pPr>
      <w:r>
        <w:t>Results</w:t>
      </w:r>
    </w:p>
    <w:p>
      <w:pPr>
        <w:pStyle w:val="Heading2"/>
        <w:numPr>
          <w:ilvl w:val="1"/>
          <w:numId w:val="10"/>
        </w:numPr>
      </w:pPr>
      <w:r>
        <w:t>Taxon means hid substantial visible variation</w:t>
      </w:r>
    </w:p>
    <w:p>
      <w:r>
        <w:rPr>
          <w:rFonts w:ascii="Times New Roman" w:hAnsi="Times New Roman" w:eastAsia="Times New Roman"/>
          <w:sz w:val="23"/>
        </w:rPr>
        <w:t>The frozen spatial cohort contained 46,276 observations from 259 source-assigned taxa. Twenty-two of 27 registered endpoints were measured, producing 374,255 analysis-eligible observation by endpoint values. Coverage ranged from 909 observations and 85 taxa for validation-only surface proxies to 40,510 observations and 253 taxa for visible CIELAB lightness and chroma. Measured endpoints occupied 190 to 431 five-degree cells (Figures 1–2; Tables S1–S2; Figure S1).</w:t>
      </w:r>
    </w:p>
    <w:p>
      <w:r>
        <w:rPr>
          <w:rFonts w:ascii="Times New Roman" w:hAnsi="Times New Roman" w:eastAsia="Times New Roman"/>
          <w:sz w:val="23"/>
        </w:rPr>
        <w:t>Across the 22 measured endpoints, 0.8137 to 0.9863 of raw observation-level variation occurred below source-assigned taxon means. The equal-replication median ranged from 0.2869 for hue sine to 0.5846 for basal taper ratio. Thus, even after limiting each eligible taxon to two observations, one taxon mean compressed 28.7–58.5% of visible variation, while the unbalanced observed sample compressed 81.4–98.6% (Figure 3; Table S3).</w:t>
      </w:r>
    </w:p>
    <w:p>
      <w:pPr>
        <w:pStyle w:val="Heading2"/>
        <w:numPr>
          <w:ilvl w:val="1"/>
          <w:numId w:val="10"/>
        </w:numPr>
      </w:pPr>
      <w:r>
        <w:t>Trait-environment links depended on trait and scale</w:t>
      </w:r>
    </w:p>
    <w:p>
      <w:r>
        <w:rPr>
          <w:rFonts w:ascii="Times New Roman" w:hAnsi="Times New Roman" w:eastAsia="Times New Roman"/>
          <w:sz w:val="23"/>
        </w:rPr>
        <w:t>Eight predictors had complete coverage and wind had 99.989% coverage. The within-taxon atlas contained 189 executed tests and 45 explicit unexecuted rows; 26 executed rows passed the global FDR family. Supported rows occurred in all six blocks, including orientation with annual mean temperature, chroma with VPD, several involucral geometry endpoints with precipitation metrics, surface-image endpoints with temperature or growing-season precipitation, and joint hue across multiple gradients.</w:t>
      </w:r>
    </w:p>
    <w:p>
      <w:r>
        <w:rPr>
          <w:rFonts w:ascii="Times New Roman" w:hAnsi="Times New Roman" w:eastAsia="Times New Roman"/>
          <w:sz w:val="23"/>
        </w:rPr>
        <w:t>The primary among-taxon atlas contained 180 successful tests, 45 unexecuted rows and nine no-finite-variation rows. Ten rows passed its separate global FDR family. Linear associations comprised a larger orientation angle with annual precipitation (standardized effect 0.3044, q = 0.0210), a larger orientation angle with growing-season precipitation (0.2581, q = 0.0338), lower chroma with higher shortwave radiation (-0.3454, q = 0.0060), and greater bract projection-peak density with VPD (0.4437, q = 0.0468). Joint hue was associated with BIO1, BIO4, BIO15, radiation, wind and NPP. Seven rows repeated in the minimum-two sensitivity.</w:t>
      </w:r>
    </w:p>
    <w:p>
      <w:r>
        <w:rPr>
          <w:rFonts w:ascii="Times New Roman" w:hAnsi="Times New Roman" w:eastAsia="Times New Roman"/>
          <w:sz w:val="23"/>
        </w:rPr>
        <w:t>Across the complete 234-row primary scale grid, seven rows were supported at both scales, 18 within taxa only, three among taxa only, 152 at neither scale and 54 were not comparable. The three among-only rows were orientation with annual precipitation, orientation with growing-season precipitation and chroma with radiation. Most supported involucral and surface-proxy rows were within-taxon only (Figure 4; Tables S4–S6).</w:t>
      </w:r>
    </w:p>
    <w:p>
      <w:pPr>
        <w:pStyle w:val="Heading2"/>
        <w:numPr>
          <w:ilvl w:val="1"/>
          <w:numId w:val="10"/>
        </w:numPr>
      </w:pPr>
      <w:r>
        <w:t>Sampling was global but strongly uneven</w:t>
      </w:r>
    </w:p>
    <w:p>
      <w:r>
        <w:rPr>
          <w:rFonts w:ascii="Times New Roman" w:hAnsi="Times New Roman" w:eastAsia="Times New Roman"/>
          <w:sz w:val="23"/>
        </w:rPr>
        <w:t xml:space="preserve">Europe contributed 23,337 observations (50.43%) and North America 19,357 (41.83%); together they contributed 92.26%. The Northern Hemisphere contributed 94.91%. </w:t>
      </w:r>
      <w:r>
        <w:rPr>
          <w:rFonts w:ascii="Times New Roman" w:hAnsi="Times New Roman" w:eastAsia="Times New Roman"/>
          <w:i/>
          <w:sz w:val="23"/>
        </w:rPr>
        <w:t>Cirsium vulgare</w:t>
      </w:r>
      <w:r>
        <w:rPr>
          <w:rFonts w:ascii="Times New Roman" w:hAnsi="Times New Roman" w:eastAsia="Times New Roman"/>
          <w:sz w:val="23"/>
        </w:rPr>
        <w:t xml:space="preserve"> contributed 28.54%, </w:t>
      </w:r>
      <w:r>
        <w:rPr>
          <w:rFonts w:ascii="Times New Roman" w:hAnsi="Times New Roman" w:eastAsia="Times New Roman"/>
          <w:i/>
          <w:sz w:val="23"/>
        </w:rPr>
        <w:t>C. arvense</w:t>
      </w:r>
      <w:r>
        <w:rPr>
          <w:rFonts w:ascii="Times New Roman" w:hAnsi="Times New Roman" w:eastAsia="Times New Roman"/>
          <w:sz w:val="23"/>
        </w:rPr>
        <w:t xml:space="preserve"> 25.49% and the ten most observed taxa 79.93%. The taxon-level median was six observations; 51 of 259 taxa had one observation and 150 had fewer than ten.</w:t>
      </w:r>
    </w:p>
    <w:p>
      <w:r>
        <w:rPr>
          <w:rFonts w:ascii="Times New Roman" w:hAnsi="Times New Roman" w:eastAsia="Times New Roman"/>
          <w:sz w:val="23"/>
        </w:rPr>
        <w:t>All 674 declared sampling scenarios were evaluable. All ten selected among-taxon pairs retained direction in every applicable scenario. Sixteen of 26 selected within-taxon pairs retained direction throughout; ten reversed in at least one scenario. Four of the five within-taxon broad-space passes were also directionally stable throughout. Projection roughness with radiation reversed under equal taxon weighting and after jointly omitting the two dominant taxa (Table S7; Figure S2).</w:t>
      </w:r>
    </w:p>
    <w:p>
      <w:pPr>
        <w:pStyle w:val="Heading2"/>
        <w:numPr>
          <w:ilvl w:val="1"/>
          <w:numId w:val="10"/>
        </w:numPr>
      </w:pPr>
      <w:r>
        <w:t>Only two among-taxon patterns passed every gate</w:t>
      </w:r>
    </w:p>
    <w:p>
      <w:r>
        <w:rPr>
          <w:rFonts w:ascii="Times New Roman" w:hAnsi="Times New Roman" w:eastAsia="Times New Roman"/>
          <w:sz w:val="23"/>
        </w:rPr>
        <w:t>Five within-taxon rows passed the broad-space gate: orientation-BIO1, chroma-VPD, involucre length/width-BIO15, projection roughness-radiation and surface high-frequency energy-BIO1. Their spatial standardized effects were 0.0265, -0.0421, 0.0602, -0.1392 and 0.1235, respectively. These rows describe within-taxon spatial covariation and were not treated as plasticity or local adaptation.</w:t>
      </w:r>
    </w:p>
    <w:p>
      <w:r>
        <w:rPr>
          <w:rFonts w:ascii="Times New Roman" w:hAnsi="Times New Roman" w:eastAsia="Times New Roman"/>
          <w:sz w:val="23"/>
        </w:rPr>
        <w:t>Two among-taxon rows passed the broad-space gate. Chroma decreased with radiation (spatial beta = -0.7124, spatial P = 0.001, residual Moran P = 0.217), and orientation angle increased with annual precipitation (spatial beta = 0.2861, spatial P = 0.017, residual Moran P = 0.082). Both retained direction in all 18 applicable sampling scenarios; their minimum effect-magnitude ratios were 0.615 and 0.781.</w:t>
      </w:r>
    </w:p>
    <w:p>
      <w:r>
        <w:rPr>
          <w:rFonts w:ascii="Times New Roman" w:hAnsi="Times New Roman" w:eastAsia="Times New Roman"/>
          <w:sz w:val="23"/>
        </w:rPr>
        <w:t>Both rows retained direction and P below 0.05 on all 52 historical-placement trees. Chroma-radiation PGLS beta was -0.3454 with P = 0.000024 and Pagel lambda = 0 throughout. Orientation-precipitation PGLS beta ranged from 0.3044 to 0.3045, P from 0.000201 to 0.000231 and lambda from 0 to 0.0537. Under the current sequential controls, these are adaptive-pattern candidates. They do not show an adaptive mechanism or independent origin (Figure 5; Table 2; Table S8; Figure S4).</w:t>
      </w:r>
    </w:p>
    <w:p>
      <w:pPr>
        <w:pStyle w:val="Heading2"/>
        <w:numPr>
          <w:ilvl w:val="1"/>
          <w:numId w:val="10"/>
        </w:numPr>
      </w:pPr>
      <w:r>
        <w:t>Capitulum traits remained multidimensional</w:t>
      </w:r>
    </w:p>
    <w:p>
      <w:r>
        <w:rPr>
          <w:rFonts w:ascii="Times New Roman" w:hAnsi="Times New Roman" w:eastAsia="Times New Roman"/>
          <w:sz w:val="23"/>
        </w:rPr>
        <w:t>The expanded 127-taxon by 18-endpoint morphospace remained multidimensional: the first three principal components explained 42.3% cumulatively. Measurement-module contrasts were modest, and the correspondence between within- and among-taxon association geometry was partial (Spearman = 0.3663). Whole-capitulum structure therefore summarized, but did not replace, the decomposed endpoint results (Table S9).</w:t>
      </w:r>
    </w:p>
    <w:p>
      <w:pPr>
        <w:pStyle w:val="Heading1"/>
        <w:numPr>
          <w:ilvl w:val="0"/>
          <w:numId w:val="10"/>
        </w:numPr>
      </w:pPr>
      <w:r>
        <w:t>Discussion</w:t>
      </w:r>
    </w:p>
    <w:p>
      <w:pPr>
        <w:pStyle w:val="Heading2"/>
        <w:numPr>
          <w:ilvl w:val="1"/>
          <w:numId w:val="10"/>
        </w:numPr>
      </w:pPr>
      <w:r>
        <w:t>Public photographs preserve variation that taxon means lose</w:t>
      </w:r>
    </w:p>
    <w:p>
      <w:r>
        <w:rPr>
          <w:rFonts w:ascii="Times New Roman" w:hAnsi="Times New Roman" w:eastAsia="Times New Roman"/>
          <w:sz w:val="23"/>
        </w:rPr>
        <w:t>The first contribution is methodological. Public photographs gave repeated numerical phenotypes with coordinates and endpoint-specific missingness. One category or taxon mean cannot preserve this information. In the raw data, 81.4–98.6% of visible variation occurred below taxon means. Even after equalizing replication, the range was 28.7–58.5%. A species-mean database loses this distribution even when its mean is accurate.</w:t>
      </w:r>
    </w:p>
    <w:p>
      <w:r>
        <w:rPr>
          <w:rFonts w:ascii="Times New Roman" w:hAnsi="Times New Roman" w:eastAsia="Times New Roman"/>
          <w:sz w:val="23"/>
        </w:rPr>
        <w:t>The workflow also keeps the measurement connected to its limits. Each endpoint has a declared image definition, assessability rule, uncertainty, geographic support and biological scale. Within-taxon gradients can therefore be separated from turnover among taxon medians. Unsupported and unassessable rows remain visible, and missing measurements are not treated as trait absence. This audit trail is as important as the automated measurement itself.</w:t>
      </w:r>
    </w:p>
    <w:p>
      <w:pPr>
        <w:pStyle w:val="Heading2"/>
        <w:numPr>
          <w:ilvl w:val="1"/>
          <w:numId w:val="10"/>
        </w:numPr>
      </w:pPr>
      <w:r>
        <w:t>Capitulum traits do not form one climate syndrome</w:t>
      </w:r>
    </w:p>
    <w:p>
      <w:r>
        <w:rPr>
          <w:rFonts w:ascii="Times New Roman" w:hAnsi="Times New Roman" w:eastAsia="Times New Roman"/>
          <w:sz w:val="23"/>
        </w:rPr>
        <w:t>The 234-row grid did not support one scale-invariant response of the whole capitulum. Most supported involucral and surface-image associations appeared only within taxa. Orientation-precipitation, orientation-growing-season precipitation and chroma-radiation appeared only among taxa. Seven rows were supported at both scales, but most involved joint visible hue, and several retained residual spatial structure. A coefficient at one scale therefore cannot be assigned to another scale.</w:t>
      </w:r>
    </w:p>
    <w:p>
      <w:r>
        <w:rPr>
          <w:rFonts w:ascii="Times New Roman" w:hAnsi="Times New Roman" w:eastAsia="Times New Roman"/>
          <w:sz w:val="23"/>
        </w:rPr>
        <w:t>The complete-18 synthesis gave the same message. Three principal components explained only 42.3% of taxon-level variation, and within- and among-taxon association geometries were only partly aligned. Whole-capitulum summaries can describe partial organization. They should not replace the endpoint-level geography.</w:t>
      </w:r>
    </w:p>
    <w:p>
      <w:r>
        <w:rPr>
          <w:rFonts w:ascii="Times New Roman" w:hAnsi="Times New Roman" w:eastAsia="Times New Roman"/>
          <w:sz w:val="23"/>
        </w:rPr>
        <w:t>This distinction matters in thistles because Japan and North America contain separate rapid regional radiations. Later studies can ask whether the same trait axes diversified in each radiation or whether different trait combinations entered similar environments. The present data do not answer those historical questions and do not show adaptive radiation. They supply continuous phenotype axes and explicit environmental candidates for those tests.</w:t>
      </w:r>
    </w:p>
    <w:p>
      <w:pPr>
        <w:pStyle w:val="Heading2"/>
        <w:numPr>
          <w:ilvl w:val="1"/>
          <w:numId w:val="10"/>
        </w:numPr>
      </w:pPr>
      <w:r>
        <w:t>Two robust patterns match independent functional ecology</w:t>
      </w:r>
    </w:p>
    <w:p>
      <w:r>
        <w:rPr>
          <w:rFonts w:ascii="Times New Roman" w:hAnsi="Times New Roman" w:eastAsia="Times New Roman"/>
          <w:sz w:val="23"/>
        </w:rPr>
        <w:t xml:space="preserve">Taxa from higher-radiation environments had lower photographed CIELAB corolla chroma. Independent studies make this direction biologically plausible. Supplemental UV-B promoted anthocyanin biosynthesis in rose petals, and </w:t>
      </w:r>
      <w:r>
        <w:rPr>
          <w:rFonts w:ascii="Times New Roman" w:hAnsi="Times New Roman" w:eastAsia="Times New Roman"/>
          <w:i/>
          <w:sz w:val="23"/>
        </w:rPr>
        <w:t>Clarkia unguiculata</w:t>
      </w:r>
      <w:r>
        <w:rPr>
          <w:rFonts w:ascii="Times New Roman" w:hAnsi="Times New Roman" w:eastAsia="Times New Roman"/>
          <w:sz w:val="23"/>
        </w:rPr>
        <w:t xml:space="preserve"> populations from areas with higher solar UV had higher estimated floral anthocyanin concentrations (Hennayake et al. 2006; Peach et al. 2020). In black dahlia, increasing concentrations of specific anthocyanins eventually reduced CIELAB C*, although the relation depended on pigment mixture and pH (Deguchi et al. 2016). Calibrated digital colour indices can also predict measured anthocyanin in some reproductive tissues (del Valle et al. 2018).</w:t>
      </w:r>
    </w:p>
    <w:p>
      <w:r>
        <w:rPr>
          <w:rFonts w:ascii="Times New Roman" w:hAnsi="Times New Roman" w:eastAsia="Times New Roman"/>
          <w:sz w:val="23"/>
        </w:rPr>
        <w:t>These studies suggest a clear test: lower visible chroma may accompany more anthocyanin in some pigment systems, and radiation may promote that pigmentation. Our data do not yet perform that test. The present chroma value is an uncalibrated colour-space distance across taxa. It is not an anthocyanin assay or a UV-reflectance measurement, so the negative coefficient cannot be converted directly into pigment concentration. Calibrated visible and UV reflectance, petal chemistry or pathway expression, and common-garden radiation experiments are needed.</w:t>
      </w:r>
    </w:p>
    <w:p>
      <w:r>
        <w:rPr>
          <w:rFonts w:ascii="Times New Roman" w:hAnsi="Times New Roman" w:eastAsia="Times New Roman"/>
          <w:sz w:val="23"/>
        </w:rPr>
        <w:t xml:space="preserve">Taxa from wetter environments also had a larger angle on the frozen image scale, where 0 is upward, 90 is horizontal and 180 is downward. The direction is consistent with more downward floral presentation. Along an Andean precipitation gradient, down-facing flowers became more common in wetter environments regardless of pollination mode (Aizen 2003). In the nodding Asteraceae </w:t>
      </w:r>
      <w:r>
        <w:rPr>
          <w:rFonts w:ascii="Times New Roman" w:hAnsi="Times New Roman" w:eastAsia="Times New Roman"/>
          <w:i/>
          <w:sz w:val="23"/>
        </w:rPr>
        <w:t>Cremanthodium campanulatum</w:t>
      </w:r>
      <w:r>
        <w:rPr>
          <w:rFonts w:ascii="Times New Roman" w:hAnsi="Times New Roman" w:eastAsia="Times New Roman"/>
          <w:sz w:val="23"/>
        </w:rPr>
        <w:t>, water and UV-B exposure reduced pollen viability. Artificially erect capitula also produced fewer achenes than naturally nodding capitula, without a matching pollinator preference (Chen et al. 2013). Downward presentation may therefore protect reproductive tissue from rain and radiation.</w:t>
      </w:r>
    </w:p>
    <w:p>
      <w:r>
        <w:rPr>
          <w:rFonts w:ascii="Times New Roman" w:hAnsi="Times New Roman" w:eastAsia="Times New Roman"/>
          <w:sz w:val="23"/>
        </w:rPr>
        <w:t>That mechanism remains a hypothesis. EXIF image vertical is not gravity, and we did not measure rain interception, pollen wetting, viability or fitness. A direct test needs gravity-referenced three-dimensional orientation, flowering-period rain data and experimental angle manipulation.</w:t>
      </w:r>
    </w:p>
    <w:p>
      <w:r>
        <w:rPr>
          <w:rFonts w:ascii="Times New Roman" w:hAnsi="Times New Roman" w:eastAsia="Times New Roman"/>
          <w:sz w:val="23"/>
        </w:rPr>
        <w:t>Both patterns survived the full declared sequence: global multiplicity correction, every tested sampling-composition direction, broad-space refitting, residual spatial diagnostics and all 52 historical-placement trees. This agreement between independent functional evidence and internal robustness makes the patterns strong candidates for direct testing. The gates reduce several specific alternative explanations. They do not establish pigment mediation, gravity-referenced orientation, heritability, selection, fitness benefit, causal environmental response or independent evolutionary origin.</w:t>
      </w:r>
    </w:p>
    <w:p>
      <w:pPr>
        <w:pStyle w:val="Heading2"/>
        <w:numPr>
          <w:ilvl w:val="1"/>
          <w:numId w:val="10"/>
        </w:numPr>
      </w:pPr>
      <w:r>
        <w:t>Sampling and measurement still limit inference</w:t>
      </w:r>
    </w:p>
    <w:p>
      <w:r>
        <w:rPr>
          <w:rFonts w:ascii="Times New Roman" w:hAnsi="Times New Roman" w:eastAsia="Times New Roman"/>
          <w:sz w:val="23"/>
        </w:rPr>
        <w:t>The dataset covers much of the world, but it is not a probability sample. Europe and North America supplied more than 92% of observations. Two taxa supplied 54%, and many taxa had few observations. The sampling audit shows how results changed under declared perturbations. It does not make the sample globally representative or create a second confirmatory analysis.</w:t>
      </w:r>
    </w:p>
    <w:p>
      <w:r>
        <w:rPr>
          <w:rFonts w:ascii="Times New Roman" w:hAnsi="Times New Roman" w:eastAsia="Times New Roman"/>
          <w:sz w:val="23"/>
        </w:rPr>
        <w:t>Photography adds further limits. Camera processing changes visible colour, viewpoint changes two-dimensional outline, and image vertical does not measure gravity. Fine involucral and surface variables still need botanical calibration. Five registered endpoints were not executed, including visible floret fraction. Independent detector boxes, reference measurements, developmental-stage labels, paired flower-background colour controls and repeat-photo remeasurement remain open validation requirements.</w:t>
      </w:r>
    </w:p>
    <w:p>
      <w:pPr>
        <w:pStyle w:val="Heading2"/>
        <w:numPr>
          <w:ilvl w:val="1"/>
          <w:numId w:val="10"/>
        </w:numPr>
      </w:pPr>
      <w:r>
        <w:t>Next tests</w:t>
      </w:r>
    </w:p>
    <w:p>
      <w:r>
        <w:rPr>
          <w:rFonts w:ascii="Times New Roman" w:hAnsi="Times New Roman" w:eastAsia="Times New Roman"/>
          <w:sz w:val="23"/>
        </w:rPr>
        <w:t>The next step is validation, not a wider environmental search. The colour candidate needs calibrated pigment, reflectance and background controls. The orientation candidate needs gravity-referenced angles and direct rain-protection measurements. Both need developmental-stage control and independent repeat measurements.</w:t>
      </w:r>
    </w:p>
    <w:p>
      <w:r>
        <w:rPr>
          <w:rFonts w:ascii="Times New Roman" w:hAnsi="Times New Roman" w:eastAsia="Times New Roman"/>
          <w:sz w:val="23"/>
        </w:rPr>
        <w:t>Historical questions come after these functional tests. Nuclear ancestry data can then be used to ask when supported states arose and whether similar states reflect independent origins, retention, ancestral polymorphism or introgression. Convergence and adaptive convergence require evidence for independent origins, comparable selection pressures and reproductive-fitness effects. Present spatial association cannot supply those claims.</w:t>
      </w:r>
    </w:p>
    <w:p>
      <w:pPr>
        <w:pStyle w:val="Heading2"/>
        <w:numPr>
          <w:ilvl w:val="1"/>
          <w:numId w:val="10"/>
        </w:numPr>
      </w:pPr>
      <w:r>
        <w:t>What the study adds</w:t>
      </w:r>
    </w:p>
    <w:p>
      <w:r>
        <w:rPr>
          <w:rFonts w:ascii="Times New Roman" w:hAnsi="Times New Roman" w:eastAsia="Times New Roman"/>
          <w:sz w:val="23"/>
        </w:rPr>
        <w:t>This study delivers two results. Methodologically, public photographs retain a geographic distribution of visible phenotype that categories and taxon means remove. Ecologically, thistle capitula show multidimensional and scale-dependent environmental organization. Lower chroma under higher radiation and a larger image-referenced orientation angle under higher precipitation are the two strongest current candidates. They now define precise botanical, physiological and evolutionary tests; they do not settle those mechanisms or histories.</w:t>
      </w:r>
    </w:p>
    <w:p>
      <w:pPr>
        <w:pStyle w:val="Heading1"/>
        <w:numPr>
          <w:ilvl w:val="0"/>
          <w:numId w:val="10"/>
        </w:numPr>
      </w:pPr>
      <w:r>
        <w:t>Conclusion and declarations</w:t>
      </w:r>
    </w:p>
    <w:p>
      <w:r>
        <w:rPr>
          <w:rFonts w:ascii="Times New Roman" w:hAnsi="Times New Roman" w:eastAsia="Times New Roman"/>
          <w:sz w:val="23"/>
        </w:rPr>
        <w:t>The methodological contribution is an auditable route from public photographs to repeated, coordinate-bearing continuous phenotypes: starting from 27 registered endpoints, the study recovered 22 measured capitulum phenotypes across 46,276 observations and 259 source-assigned taxa. Taxon means compressed 81.4-98.6% of raw visible variation and 28.7-58.5% after equalizing replication. The ecological contribution is evidence that environmental organization is endpoint- and scale-specific rather than one capitulum syndrome. Two among-taxon directions—lower visible chroma with higher shortwave radiation and a larger image-referenced orientation angle with higher annual precipitation—are consistent with independent evidence for radiation-responsive floral pigmentation and protective downward floral presentation. Both retained support through the current multiplicity, sampling-composition, broad-space, residual-spatial and historical-placement gates.</w:t>
      </w:r>
    </w:p>
    <w:p>
      <w:r>
        <w:rPr>
          <w:rFonts w:ascii="Times New Roman" w:hAnsi="Times New Roman" w:eastAsia="Times New Roman"/>
          <w:sz w:val="23"/>
        </w:rPr>
        <w:t>The convergence of functional plausibility and robustness makes these priority adaptive-pattern candidates under current sequential controls, not demonstrations of adaptation or mechanism. Camera-recorded chroma cannot be inverted into anthocyanin concentration, and image vertical cannot establish gravity-referenced nodding or rain protection. Citizen-science sampling is uneven, and independent detector, trait-measurement and botanical validation remain open. No claim is made about plasticity, heritability, selection, causal environmental response, independent origins or convergence.</w:t>
      </w:r>
    </w:p>
    <w:p>
      <w:pPr>
        <w:pStyle w:val="Heading2"/>
      </w:pPr>
      <w:r>
        <w:t>Declarations</w:t>
      </w:r>
    </w:p>
    <w:p>
      <w:r>
        <w:rPr>
          <w:rFonts w:ascii="Times New Roman" w:hAnsi="Times New Roman" w:eastAsia="Times New Roman"/>
          <w:sz w:val="23"/>
        </w:rPr>
        <w:t xml:space="preserve">Ethics approval was not required for analysis of publicly available biodiversity observations. Source photographs will not be redistributed beyond their individual licence terms. Author contributions, funding, acknowledgements, conflicts of interest and corresponding-author details must be completed by the authors in the journal submission system and separate title page. The current repository package remains a submission candidate on scientific HOLD until the external validation gates listed in </w:t>
      </w:r>
      <w:r>
        <w:rPr>
          <w:rFonts w:ascii="Consolas" w:hAnsi="Consolas" w:eastAsia="Consolas"/>
          <w:sz w:val="19"/>
        </w:rPr>
        <w:t>EXTERNAL_COMPLETION_GATES.md</w:t>
      </w:r>
      <w:r>
        <w:rPr>
          <w:rFonts w:ascii="Times New Roman" w:hAnsi="Times New Roman" w:eastAsia="Times New Roman"/>
          <w:sz w:val="23"/>
        </w:rPr>
        <w:t xml:space="preserve"> are closed.</w:t>
      </w:r>
    </w:p>
    <w:p>
      <w:pPr>
        <w:pStyle w:val="Heading1"/>
      </w:pPr>
      <w:r>
        <w:t>References</w:t>
      </w:r>
    </w:p>
    <w:p>
      <w:r>
        <w:rPr>
          <w:rFonts w:ascii="Times New Roman" w:hAnsi="Times New Roman" w:eastAsia="Times New Roman"/>
          <w:sz w:val="23"/>
        </w:rPr>
        <w:t xml:space="preserve">Ackerfield, J., Susanna, A., Funk, V. A., Kelch, D. G., Park, D. S., Thornhill, A. H., … Dirmenci, T. (2020). A prickly puzzle: Generic delimitations in the Carduus–Cirsium group (Compositae: Cardueae: Carduinae). </w:t>
      </w:r>
      <w:r>
        <w:rPr>
          <w:rFonts w:ascii="Times New Roman" w:hAnsi="Times New Roman" w:eastAsia="Times New Roman"/>
          <w:i/>
          <w:sz w:val="23"/>
        </w:rPr>
        <w:t>Taxon</w:t>
      </w:r>
      <w:r>
        <w:rPr>
          <w:rFonts w:ascii="Times New Roman" w:hAnsi="Times New Roman" w:eastAsia="Times New Roman"/>
          <w:sz w:val="23"/>
        </w:rPr>
        <w:t>, 69, 715–738. https://doi.org/10.1002/tax.12288</w:t>
      </w:r>
    </w:p>
    <w:p>
      <w:r>
        <w:rPr>
          <w:rFonts w:ascii="Times New Roman" w:hAnsi="Times New Roman" w:eastAsia="Times New Roman"/>
          <w:sz w:val="23"/>
        </w:rPr>
        <w:t xml:space="preserve">Aizen, M. A. (2003). Down-facing flowers, hummingbirds and rain. </w:t>
      </w:r>
      <w:r>
        <w:rPr>
          <w:rFonts w:ascii="Times New Roman" w:hAnsi="Times New Roman" w:eastAsia="Times New Roman"/>
          <w:i/>
          <w:sz w:val="23"/>
        </w:rPr>
        <w:t>Taxon</w:t>
      </w:r>
      <w:r>
        <w:rPr>
          <w:rFonts w:ascii="Times New Roman" w:hAnsi="Times New Roman" w:eastAsia="Times New Roman"/>
          <w:sz w:val="23"/>
        </w:rPr>
        <w:t>, 52, 675–680. https://doi.org/10.2307/3647342</w:t>
      </w:r>
    </w:p>
    <w:p>
      <w:r>
        <w:rPr>
          <w:rFonts w:ascii="Times New Roman" w:hAnsi="Times New Roman" w:eastAsia="Times New Roman"/>
          <w:sz w:val="23"/>
        </w:rPr>
        <w:t xml:space="preserve">Albert, C. H., Grassein, F., Schurr, F. M., Vieilledent, G. &amp; Violle, C. (2011). When and how should intraspecific variability be considered in trait-based plant ecology? </w:t>
      </w:r>
      <w:r>
        <w:rPr>
          <w:rFonts w:ascii="Times New Roman" w:hAnsi="Times New Roman" w:eastAsia="Times New Roman"/>
          <w:i/>
          <w:sz w:val="23"/>
        </w:rPr>
        <w:t>Perspectives in Plant Ecology, Evolution and Systematics</w:t>
      </w:r>
      <w:r>
        <w:rPr>
          <w:rFonts w:ascii="Times New Roman" w:hAnsi="Times New Roman" w:eastAsia="Times New Roman"/>
          <w:sz w:val="23"/>
        </w:rPr>
        <w:t>, 13, 217–225. https://doi.org/10.1016/j.ppees.2011.04.003</w:t>
      </w:r>
    </w:p>
    <w:p>
      <w:r>
        <w:rPr>
          <w:rFonts w:ascii="Times New Roman" w:hAnsi="Times New Roman" w:eastAsia="Times New Roman"/>
          <w:sz w:val="23"/>
        </w:rPr>
        <w:t xml:space="preserve">Bolnick, D. I., Amarasekare, P., Araújo, M. S., Bürger, R., Levine, J. M., Novak, M., … Vasseur, D. A. (2011). Why intraspecific trait variation matters in community ecology. </w:t>
      </w:r>
      <w:r>
        <w:rPr>
          <w:rFonts w:ascii="Times New Roman" w:hAnsi="Times New Roman" w:eastAsia="Times New Roman"/>
          <w:i/>
          <w:sz w:val="23"/>
        </w:rPr>
        <w:t>Trends in Ecology &amp; Evolution</w:t>
      </w:r>
      <w:r>
        <w:rPr>
          <w:rFonts w:ascii="Times New Roman" w:hAnsi="Times New Roman" w:eastAsia="Times New Roman"/>
          <w:sz w:val="23"/>
        </w:rPr>
        <w:t>, 26, 183–192. https://doi.org/10.1016/j.tree.2011.01.009</w:t>
      </w:r>
    </w:p>
    <w:p>
      <w:r>
        <w:rPr>
          <w:rFonts w:ascii="Times New Roman" w:hAnsi="Times New Roman" w:eastAsia="Times New Roman"/>
          <w:sz w:val="23"/>
        </w:rPr>
        <w:t xml:space="preserve">Borghi, M., Perez de Souza, L., Yoshida, T. &amp; Fernie, A. R. (2019). Flowers and climate change: a metabolic perspective. </w:t>
      </w:r>
      <w:r>
        <w:rPr>
          <w:rFonts w:ascii="Times New Roman" w:hAnsi="Times New Roman" w:eastAsia="Times New Roman"/>
          <w:i/>
          <w:sz w:val="23"/>
        </w:rPr>
        <w:t>New Phytologist</w:t>
      </w:r>
      <w:r>
        <w:rPr>
          <w:rFonts w:ascii="Times New Roman" w:hAnsi="Times New Roman" w:eastAsia="Times New Roman"/>
          <w:sz w:val="23"/>
        </w:rPr>
        <w:t>, 224, 1425–1441. https://doi.org/10.1111/nph.16031</w:t>
      </w:r>
    </w:p>
    <w:p>
      <w:r>
        <w:rPr>
          <w:rFonts w:ascii="Times New Roman" w:hAnsi="Times New Roman" w:eastAsia="Times New Roman"/>
          <w:sz w:val="23"/>
        </w:rPr>
        <w:t xml:space="preserve">Bureš, P., Del Guacchio, E., Šmerda, J., Özcan, M., Blizňáková, P., Vavrinec, M., … Zedek, F. (2024). Intergeneric hybrid origin of the invasive tetraploid </w:t>
      </w:r>
      <w:r>
        <w:rPr>
          <w:rFonts w:ascii="Times New Roman" w:hAnsi="Times New Roman" w:eastAsia="Times New Roman"/>
          <w:i/>
          <w:sz w:val="23"/>
        </w:rPr>
        <w:t>Cirsium vulgare</w:t>
      </w:r>
      <w:r>
        <w:rPr>
          <w:rFonts w:ascii="Times New Roman" w:hAnsi="Times New Roman" w:eastAsia="Times New Roman"/>
          <w:sz w:val="23"/>
        </w:rPr>
        <w:t xml:space="preserve">. </w:t>
      </w:r>
      <w:r>
        <w:rPr>
          <w:rFonts w:ascii="Times New Roman" w:hAnsi="Times New Roman" w:eastAsia="Times New Roman"/>
          <w:i/>
          <w:sz w:val="23"/>
        </w:rPr>
        <w:t>Plant Biology</w:t>
      </w:r>
      <w:r>
        <w:rPr>
          <w:rFonts w:ascii="Times New Roman" w:hAnsi="Times New Roman" w:eastAsia="Times New Roman"/>
          <w:sz w:val="23"/>
        </w:rPr>
        <w:t>, 26, 749–763. https://doi.org/10.1111/plb.13653</w:t>
      </w:r>
    </w:p>
    <w:p>
      <w:r>
        <w:rPr>
          <w:rFonts w:ascii="Times New Roman" w:hAnsi="Times New Roman" w:eastAsia="Times New Roman"/>
          <w:sz w:val="23"/>
        </w:rPr>
        <w:t xml:space="preserve">Chang, C.-Y., Liao, P.-C., Tzeng, H.-Y., Kusumi, J., Su, Z.-H. &amp; Tseng, Y.-H. (2026). Phylotranscriptomics and genome-size evidence clarify the Taiwanese </w:t>
      </w:r>
      <w:r>
        <w:rPr>
          <w:rFonts w:ascii="Times New Roman" w:hAnsi="Times New Roman" w:eastAsia="Times New Roman"/>
          <w:i/>
          <w:sz w:val="23"/>
        </w:rPr>
        <w:t>Cirsium japonicum</w:t>
      </w:r>
      <w:r>
        <w:rPr>
          <w:rFonts w:ascii="Times New Roman" w:hAnsi="Times New Roman" w:eastAsia="Times New Roman"/>
          <w:sz w:val="23"/>
        </w:rPr>
        <w:t xml:space="preserve"> complex and delimit </w:t>
      </w:r>
      <w:r>
        <w:rPr>
          <w:rFonts w:ascii="Times New Roman" w:hAnsi="Times New Roman" w:eastAsia="Times New Roman"/>
          <w:i/>
          <w:sz w:val="23"/>
        </w:rPr>
        <w:t>C. brevicaule</w:t>
      </w:r>
      <w:r>
        <w:rPr>
          <w:rFonts w:ascii="Times New Roman" w:hAnsi="Times New Roman" w:eastAsia="Times New Roman"/>
          <w:sz w:val="23"/>
        </w:rPr>
        <w:t xml:space="preserve"> and allied East Asian thistles. </w:t>
      </w:r>
      <w:r>
        <w:rPr>
          <w:rFonts w:ascii="Times New Roman" w:hAnsi="Times New Roman" w:eastAsia="Times New Roman"/>
          <w:i/>
          <w:sz w:val="23"/>
        </w:rPr>
        <w:t>BMC Plant Biology</w:t>
      </w:r>
      <w:r>
        <w:rPr>
          <w:rFonts w:ascii="Times New Roman" w:hAnsi="Times New Roman" w:eastAsia="Times New Roman"/>
          <w:sz w:val="23"/>
        </w:rPr>
        <w:t>, 26, 545. https://doi.org/10.1186/s12870-026-08097-6</w:t>
      </w:r>
    </w:p>
    <w:p>
      <w:r>
        <w:rPr>
          <w:rFonts w:ascii="Times New Roman" w:hAnsi="Times New Roman" w:eastAsia="Times New Roman"/>
          <w:sz w:val="23"/>
        </w:rPr>
        <w:t xml:space="preserve">Chen, J. G., Yang, Y., Zhang, Z. Q., Niu, Y. &amp; Sun, H. (2013). A nodding capitulum enhances the reproductive success of </w:t>
      </w:r>
      <w:r>
        <w:rPr>
          <w:rFonts w:ascii="Times New Roman" w:hAnsi="Times New Roman" w:eastAsia="Times New Roman"/>
          <w:i/>
          <w:sz w:val="23"/>
        </w:rPr>
        <w:t>Cremanthodium campanulatum</w:t>
      </w:r>
      <w:r>
        <w:rPr>
          <w:rFonts w:ascii="Times New Roman" w:hAnsi="Times New Roman" w:eastAsia="Times New Roman"/>
          <w:sz w:val="23"/>
        </w:rPr>
        <w:t xml:space="preserve"> (Asteraceae) at high elevations in the Sino-Himalayan Mountains. </w:t>
      </w:r>
      <w:r>
        <w:rPr>
          <w:rFonts w:ascii="Times New Roman" w:hAnsi="Times New Roman" w:eastAsia="Times New Roman"/>
          <w:i/>
          <w:sz w:val="23"/>
        </w:rPr>
        <w:t>Plant Ecology &amp; Diversity</w:t>
      </w:r>
      <w:r>
        <w:rPr>
          <w:rFonts w:ascii="Times New Roman" w:hAnsi="Times New Roman" w:eastAsia="Times New Roman"/>
          <w:sz w:val="23"/>
        </w:rPr>
        <w:t>, 6, 487–494. https://doi.org/10.1080/17550874.2012.702793</w:t>
      </w:r>
    </w:p>
    <w:p>
      <w:r>
        <w:rPr>
          <w:rFonts w:ascii="Times New Roman" w:hAnsi="Times New Roman" w:eastAsia="Times New Roman"/>
          <w:sz w:val="23"/>
        </w:rPr>
        <w:t xml:space="preserve">Creux, N. M., Brown, R. I., Garner, A. G., Saeed, S., Scher, C. L., Holalu, S. V., … Harmer, S. L. (2021). Flower orientation influences floral temperature, pollinator visits and plant fitness. </w:t>
      </w:r>
      <w:r>
        <w:rPr>
          <w:rFonts w:ascii="Times New Roman" w:hAnsi="Times New Roman" w:eastAsia="Times New Roman"/>
          <w:i/>
          <w:sz w:val="23"/>
        </w:rPr>
        <w:t>New Phytologist</w:t>
      </w:r>
      <w:r>
        <w:rPr>
          <w:rFonts w:ascii="Times New Roman" w:hAnsi="Times New Roman" w:eastAsia="Times New Roman"/>
          <w:sz w:val="23"/>
        </w:rPr>
        <w:t>, 232, 868–879. https://doi.org/10.1111/nph.17627</w:t>
      </w:r>
    </w:p>
    <w:p>
      <w:r>
        <w:rPr>
          <w:rFonts w:ascii="Times New Roman" w:hAnsi="Times New Roman" w:eastAsia="Times New Roman"/>
          <w:sz w:val="23"/>
        </w:rPr>
        <w:t xml:space="preserve">Dalrymple, R. L., Kemp, D. J., Flores-Moreno, H., Laffan, S. W., White, T. E., Hemmings, F. A. &amp; Moles, A. T. (2020). Macroecological patterns in flower colour are shaped by both biotic and abiotic factors. </w:t>
      </w:r>
      <w:r>
        <w:rPr>
          <w:rFonts w:ascii="Times New Roman" w:hAnsi="Times New Roman" w:eastAsia="Times New Roman"/>
          <w:i/>
          <w:sz w:val="23"/>
        </w:rPr>
        <w:t>New Phytologist</w:t>
      </w:r>
      <w:r>
        <w:rPr>
          <w:rFonts w:ascii="Times New Roman" w:hAnsi="Times New Roman" w:eastAsia="Times New Roman"/>
          <w:sz w:val="23"/>
        </w:rPr>
        <w:t>, 228, 1972–1985. https://doi.org/10.1111/nph.16737</w:t>
      </w:r>
    </w:p>
    <w:p>
      <w:r>
        <w:rPr>
          <w:rFonts w:ascii="Times New Roman" w:hAnsi="Times New Roman" w:eastAsia="Times New Roman"/>
          <w:sz w:val="23"/>
        </w:rPr>
        <w:t xml:space="preserve">Deguchi, A., Tatsuzawa, F., Hosokawa, M., Doi, M. &amp; Ohno, S. (2016). Quantitative evaluation of the contribution of four major anthocyanins to black flower coloring of dahlia petals. </w:t>
      </w:r>
      <w:r>
        <w:rPr>
          <w:rFonts w:ascii="Times New Roman" w:hAnsi="Times New Roman" w:eastAsia="Times New Roman"/>
          <w:i/>
          <w:sz w:val="23"/>
        </w:rPr>
        <w:t>The Horticulture Journal</w:t>
      </w:r>
      <w:r>
        <w:rPr>
          <w:rFonts w:ascii="Times New Roman" w:hAnsi="Times New Roman" w:eastAsia="Times New Roman"/>
          <w:sz w:val="23"/>
        </w:rPr>
        <w:t>, 85, 340–350. https://doi.org/10.2503/hortj.MI-121</w:t>
      </w:r>
    </w:p>
    <w:p>
      <w:r>
        <w:rPr>
          <w:rFonts w:ascii="Times New Roman" w:hAnsi="Times New Roman" w:eastAsia="Times New Roman"/>
          <w:sz w:val="23"/>
        </w:rPr>
        <w:t xml:space="preserve">del Valle, J. C., Gallardo-López, A., Buide, M. L., Whittall, J. B. &amp; Narbona, E. (2018). Digital photography provides a fast, reliable, and noninvasive method to estimate anthocyanin pigment concentration in reproductive and vegetative plant tissues. </w:t>
      </w:r>
      <w:r>
        <w:rPr>
          <w:rFonts w:ascii="Times New Roman" w:hAnsi="Times New Roman" w:eastAsia="Times New Roman"/>
          <w:i/>
          <w:sz w:val="23"/>
        </w:rPr>
        <w:t>Ecology and Evolution</w:t>
      </w:r>
      <w:r>
        <w:rPr>
          <w:rFonts w:ascii="Times New Roman" w:hAnsi="Times New Roman" w:eastAsia="Times New Roman"/>
          <w:sz w:val="23"/>
        </w:rPr>
        <w:t>, 8, 3064–3076. https://doi.org/10.1002/ece3.3804</w:t>
      </w:r>
    </w:p>
    <w:p>
      <w:r>
        <w:rPr>
          <w:rFonts w:ascii="Times New Roman" w:hAnsi="Times New Roman" w:eastAsia="Times New Roman"/>
          <w:sz w:val="23"/>
        </w:rPr>
        <w:t xml:space="preserve">Di Cecco, G. J., Barve, V., Belitz, M. W., Stucky, B. J., Guralnick, R. P. &amp; Hurlbert, A. H. (2021). Observing the observers: How participants contribute data to iNaturalist and implications for biodiversity science. </w:t>
      </w:r>
      <w:r>
        <w:rPr>
          <w:rFonts w:ascii="Times New Roman" w:hAnsi="Times New Roman" w:eastAsia="Times New Roman"/>
          <w:i/>
          <w:sz w:val="23"/>
        </w:rPr>
        <w:t>BioScience</w:t>
      </w:r>
      <w:r>
        <w:rPr>
          <w:rFonts w:ascii="Times New Roman" w:hAnsi="Times New Roman" w:eastAsia="Times New Roman"/>
          <w:sz w:val="23"/>
        </w:rPr>
        <w:t>, 71, 1179–1188. https://doi.org/10.1093/biosci/biab093</w:t>
      </w:r>
    </w:p>
    <w:p>
      <w:r>
        <w:rPr>
          <w:rFonts w:ascii="Times New Roman" w:hAnsi="Times New Roman" w:eastAsia="Times New Roman"/>
          <w:sz w:val="23"/>
        </w:rPr>
        <w:t xml:space="preserve">Diggle, P. K. (2014). Modularity and intra-floral integration in metameric organisms: plants are more than the sum of their parts. </w:t>
      </w:r>
      <w:r>
        <w:rPr>
          <w:rFonts w:ascii="Times New Roman" w:hAnsi="Times New Roman" w:eastAsia="Times New Roman"/>
          <w:i/>
          <w:sz w:val="23"/>
        </w:rPr>
        <w:t>Philosophical Transactions of the Royal Society B: Biological Sciences</w:t>
      </w:r>
      <w:r>
        <w:rPr>
          <w:rFonts w:ascii="Times New Roman" w:hAnsi="Times New Roman" w:eastAsia="Times New Roman"/>
          <w:sz w:val="23"/>
        </w:rPr>
        <w:t>, 369, 20130253. https://doi.org/10.1098/rstb.2013.0253</w:t>
      </w:r>
    </w:p>
    <w:p>
      <w:r>
        <w:rPr>
          <w:rFonts w:ascii="Times New Roman" w:hAnsi="Times New Roman" w:eastAsia="Times New Roman"/>
          <w:sz w:val="23"/>
        </w:rPr>
        <w:t xml:space="preserve">Grossenbacher, D. L., Lo, M. S., Waddington, M. E., O'Dell, R. &amp; Kay, K. M. (2026). Soil and climate contribute to maintenance of a flower color polymorphism. </w:t>
      </w:r>
      <w:r>
        <w:rPr>
          <w:rFonts w:ascii="Times New Roman" w:hAnsi="Times New Roman" w:eastAsia="Times New Roman"/>
          <w:i/>
          <w:sz w:val="23"/>
        </w:rPr>
        <w:t>American Journal of Botany</w:t>
      </w:r>
      <w:r>
        <w:rPr>
          <w:rFonts w:ascii="Times New Roman" w:hAnsi="Times New Roman" w:eastAsia="Times New Roman"/>
          <w:sz w:val="23"/>
        </w:rPr>
        <w:t>, 113, e70018. https://doi.org/10.1002/ajb2.70018</w:t>
      </w:r>
    </w:p>
    <w:p>
      <w:r>
        <w:rPr>
          <w:rFonts w:ascii="Times New Roman" w:hAnsi="Times New Roman" w:eastAsia="Times New Roman"/>
          <w:sz w:val="23"/>
        </w:rPr>
        <w:t xml:space="preserve">Hanley, M. E., Lamont, B. B., Fairbanks, M. M. &amp; Rafferty, C. M. (2007). Plant structural traits and their role in anti-herbivore defence. </w:t>
      </w:r>
      <w:r>
        <w:rPr>
          <w:rFonts w:ascii="Times New Roman" w:hAnsi="Times New Roman" w:eastAsia="Times New Roman"/>
          <w:i/>
          <w:sz w:val="23"/>
        </w:rPr>
        <w:t>Perspectives in Plant Ecology, Evolution and Systematics</w:t>
      </w:r>
      <w:r>
        <w:rPr>
          <w:rFonts w:ascii="Times New Roman" w:hAnsi="Times New Roman" w:eastAsia="Times New Roman"/>
          <w:sz w:val="23"/>
        </w:rPr>
        <w:t>, 8, 157–178. https://doi.org/10.1016/j.ppees.2007.01.001</w:t>
      </w:r>
    </w:p>
    <w:p>
      <w:r>
        <w:rPr>
          <w:rFonts w:ascii="Times New Roman" w:hAnsi="Times New Roman" w:eastAsia="Times New Roman"/>
          <w:sz w:val="23"/>
        </w:rPr>
        <w:t xml:space="preserve">Hennayake, C. K., Kanechi, M., Yasuda, N., Uno, Y. &amp; Inagaki, N. (2006). Irradiation of UV-B induces biosynthesis of anthocyanins in flower petals of rose, </w:t>
      </w:r>
      <w:r>
        <w:rPr>
          <w:rFonts w:ascii="Times New Roman" w:hAnsi="Times New Roman" w:eastAsia="Times New Roman"/>
          <w:i/>
          <w:sz w:val="23"/>
        </w:rPr>
        <w:t>Rosa hybrida</w:t>
      </w:r>
      <w:r>
        <w:rPr>
          <w:rFonts w:ascii="Times New Roman" w:hAnsi="Times New Roman" w:eastAsia="Times New Roman"/>
          <w:sz w:val="23"/>
        </w:rPr>
        <w:t xml:space="preserve"> cv. 'Charleston' and 'Ehigasa'. </w:t>
      </w:r>
      <w:r>
        <w:rPr>
          <w:rFonts w:ascii="Times New Roman" w:hAnsi="Times New Roman" w:eastAsia="Times New Roman"/>
          <w:i/>
          <w:sz w:val="23"/>
        </w:rPr>
        <w:t>Environment Control in Biology</w:t>
      </w:r>
      <w:r>
        <w:rPr>
          <w:rFonts w:ascii="Times New Roman" w:hAnsi="Times New Roman" w:eastAsia="Times New Roman"/>
          <w:sz w:val="23"/>
        </w:rPr>
        <w:t>, 44, 103–110. https://doi.org/10.2525/ecb.44.103</w:t>
      </w:r>
    </w:p>
    <w:p>
      <w:r>
        <w:rPr>
          <w:rFonts w:ascii="Times New Roman" w:hAnsi="Times New Roman" w:eastAsia="Times New Roman"/>
          <w:sz w:val="23"/>
        </w:rPr>
        <w:t xml:space="preserve">Herrera, C. M. (2025). Flowers that cool themselves: Thermal ecology of summer-blooming thistles in hot Mediterranean environments. </w:t>
      </w:r>
      <w:r>
        <w:rPr>
          <w:rFonts w:ascii="Times New Roman" w:hAnsi="Times New Roman" w:eastAsia="Times New Roman"/>
          <w:i/>
          <w:sz w:val="23"/>
        </w:rPr>
        <w:t>Ecological Monographs</w:t>
      </w:r>
      <w:r>
        <w:rPr>
          <w:rFonts w:ascii="Times New Roman" w:hAnsi="Times New Roman" w:eastAsia="Times New Roman"/>
          <w:sz w:val="23"/>
        </w:rPr>
        <w:t>, 95, e70007. https://doi.org/10.1002/ecm.70007</w:t>
      </w:r>
    </w:p>
    <w:p>
      <w:r>
        <w:rPr>
          <w:rFonts w:ascii="Times New Roman" w:hAnsi="Times New Roman" w:eastAsia="Times New Roman"/>
          <w:sz w:val="23"/>
        </w:rPr>
        <w:t xml:space="preserve">Kattge, J., Díaz, S., Lavorel, S., Prentice, I. C., Leadley, P., Bönisch, G., … Wirth, C. (2011). TRY—a global database of plant traits. </w:t>
      </w:r>
      <w:r>
        <w:rPr>
          <w:rFonts w:ascii="Times New Roman" w:hAnsi="Times New Roman" w:eastAsia="Times New Roman"/>
          <w:i/>
          <w:sz w:val="23"/>
        </w:rPr>
        <w:t>Global Change Biology</w:t>
      </w:r>
      <w:r>
        <w:rPr>
          <w:rFonts w:ascii="Times New Roman" w:hAnsi="Times New Roman" w:eastAsia="Times New Roman"/>
          <w:sz w:val="23"/>
        </w:rPr>
        <w:t>, 17, 2905–2935. https://doi.org/10.1111/j.1365-2486.2011.02451.x</w:t>
      </w:r>
    </w:p>
    <w:p>
      <w:r>
        <w:rPr>
          <w:rFonts w:ascii="Times New Roman" w:hAnsi="Times New Roman" w:eastAsia="Times New Roman"/>
          <w:sz w:val="23"/>
        </w:rPr>
        <w:t xml:space="preserve">Kattge, J., Bönisch, G., Díaz, S., Lavorel, S., Prentice, I. C., Leadley, P., … Wirth, C. (2020). TRY plant trait database—enhanced coverage and open access. </w:t>
      </w:r>
      <w:r>
        <w:rPr>
          <w:rFonts w:ascii="Times New Roman" w:hAnsi="Times New Roman" w:eastAsia="Times New Roman"/>
          <w:i/>
          <w:sz w:val="23"/>
        </w:rPr>
        <w:t>Global Change Biology</w:t>
      </w:r>
      <w:r>
        <w:rPr>
          <w:rFonts w:ascii="Times New Roman" w:hAnsi="Times New Roman" w:eastAsia="Times New Roman"/>
          <w:sz w:val="23"/>
        </w:rPr>
        <w:t>, 26, 119–188. https://doi.org/10.1111/gcb.14904</w:t>
      </w:r>
    </w:p>
    <w:p>
      <w:r>
        <w:rPr>
          <w:rFonts w:ascii="Times New Roman" w:hAnsi="Times New Roman" w:eastAsia="Times New Roman"/>
          <w:sz w:val="23"/>
        </w:rPr>
        <w:t>Kelch, D. G. &amp; Baldwin, B. G. (2003). Phylogeny and ecological radiation of New World thistles (</w:t>
      </w:r>
      <w:r>
        <w:rPr>
          <w:rFonts w:ascii="Times New Roman" w:hAnsi="Times New Roman" w:eastAsia="Times New Roman"/>
          <w:i/>
          <w:sz w:val="23"/>
        </w:rPr>
        <w:t>Cirsium</w:t>
      </w:r>
      <w:r>
        <w:rPr>
          <w:rFonts w:ascii="Times New Roman" w:hAnsi="Times New Roman" w:eastAsia="Times New Roman"/>
          <w:sz w:val="23"/>
        </w:rPr>
        <w:t xml:space="preserve">, Cardueae–Compositae) based on ITS and ETS rDNA sequence data. </w:t>
      </w:r>
      <w:r>
        <w:rPr>
          <w:rFonts w:ascii="Times New Roman" w:hAnsi="Times New Roman" w:eastAsia="Times New Roman"/>
          <w:i/>
          <w:sz w:val="23"/>
        </w:rPr>
        <w:t>Molecular Ecology</w:t>
      </w:r>
      <w:r>
        <w:rPr>
          <w:rFonts w:ascii="Times New Roman" w:hAnsi="Times New Roman" w:eastAsia="Times New Roman"/>
          <w:sz w:val="23"/>
        </w:rPr>
        <w:t>, 12, 141–151. https://doi.org/10.1046/j.1365-294X.2003.01710.x</w:t>
      </w:r>
    </w:p>
    <w:p>
      <w:r>
        <w:rPr>
          <w:rFonts w:ascii="Times New Roman" w:hAnsi="Times New Roman" w:eastAsia="Times New Roman"/>
          <w:sz w:val="23"/>
        </w:rPr>
        <w:t xml:space="preserve">Kitamura, S. (1932). 日本産新菊科植物: 摘要 [New Compositae from Japan: abstract; in Japanese]. </w:t>
      </w:r>
      <w:r>
        <w:rPr>
          <w:rFonts w:ascii="Times New Roman" w:hAnsi="Times New Roman" w:eastAsia="Times New Roman"/>
          <w:i/>
          <w:sz w:val="23"/>
        </w:rPr>
        <w:t>Acta Phytotaxonomica et Geobotanica</w:t>
      </w:r>
      <w:r>
        <w:rPr>
          <w:rFonts w:ascii="Times New Roman" w:hAnsi="Times New Roman" w:eastAsia="Times New Roman"/>
          <w:sz w:val="23"/>
        </w:rPr>
        <w:t>, 1, 56–60. https://doi.org/10.18942/bunruichiri.KJ00001078744</w:t>
      </w:r>
    </w:p>
    <w:p>
      <w:r>
        <w:rPr>
          <w:rFonts w:ascii="Times New Roman" w:hAnsi="Times New Roman" w:eastAsia="Times New Roman"/>
          <w:sz w:val="23"/>
        </w:rPr>
        <w:t xml:space="preserve">Maitner, B. S., Boyle, B., Casler, N., Condit, R., Donoghue, J., Durán, S. M., … Enquist, B. J. (2018). The BIEN R package: a tool to access the Botanical Information and Ecology Network (BIEN) database. </w:t>
      </w:r>
      <w:r>
        <w:rPr>
          <w:rFonts w:ascii="Times New Roman" w:hAnsi="Times New Roman" w:eastAsia="Times New Roman"/>
          <w:i/>
          <w:sz w:val="23"/>
        </w:rPr>
        <w:t>Methods in Ecology and Evolution</w:t>
      </w:r>
      <w:r>
        <w:rPr>
          <w:rFonts w:ascii="Times New Roman" w:hAnsi="Times New Roman" w:eastAsia="Times New Roman"/>
          <w:sz w:val="23"/>
        </w:rPr>
        <w:t>, 9, 373–379. https://doi.org/10.1111/2041-210X.12861</w:t>
      </w:r>
    </w:p>
    <w:p>
      <w:r>
        <w:rPr>
          <w:rFonts w:ascii="Times New Roman" w:hAnsi="Times New Roman" w:eastAsia="Times New Roman"/>
          <w:sz w:val="23"/>
        </w:rPr>
        <w:t xml:space="preserve">Messier, J., McGill, B. J. &amp; Lechowicz, M. J. (2010). How do traits vary across ecological scales? A case for trait-based ecology. </w:t>
      </w:r>
      <w:r>
        <w:rPr>
          <w:rFonts w:ascii="Times New Roman" w:hAnsi="Times New Roman" w:eastAsia="Times New Roman"/>
          <w:i/>
          <w:sz w:val="23"/>
        </w:rPr>
        <w:t>Ecology Letters</w:t>
      </w:r>
      <w:r>
        <w:rPr>
          <w:rFonts w:ascii="Times New Roman" w:hAnsi="Times New Roman" w:eastAsia="Times New Roman"/>
          <w:sz w:val="23"/>
        </w:rPr>
        <w:t>, 13, 838–848. https://doi.org/10.1111/j.1461-0248.2010.01476.x</w:t>
      </w:r>
    </w:p>
    <w:p>
      <w:r>
        <w:rPr>
          <w:rFonts w:ascii="Times New Roman" w:hAnsi="Times New Roman" w:eastAsia="Times New Roman"/>
          <w:sz w:val="23"/>
        </w:rPr>
        <w:t xml:space="preserve">Mogford, D. J. (1972). </w:t>
      </w:r>
      <w:r>
        <w:rPr>
          <w:rFonts w:ascii="Times New Roman" w:hAnsi="Times New Roman" w:eastAsia="Times New Roman"/>
          <w:i/>
          <w:sz w:val="23"/>
        </w:rPr>
        <w:t>The ecological genetics of flower colour variation in Cirsium palustre</w:t>
      </w:r>
      <w:r>
        <w:rPr>
          <w:rFonts w:ascii="Times New Roman" w:hAnsi="Times New Roman" w:eastAsia="Times New Roman"/>
          <w:sz w:val="23"/>
        </w:rPr>
        <w:t xml:space="preserve"> [DPhil thesis]. University of Oxford. https://doi.org/10.5287/ora-mj5dwmwbx</w:t>
      </w:r>
    </w:p>
    <w:p>
      <w:r>
        <w:rPr>
          <w:rFonts w:ascii="Times New Roman" w:hAnsi="Times New Roman" w:eastAsia="Times New Roman"/>
          <w:sz w:val="23"/>
        </w:rPr>
        <w:t xml:space="preserve">Mogford, D. J. (1974a). Flower colour polymorphism in </w:t>
      </w:r>
      <w:r>
        <w:rPr>
          <w:rFonts w:ascii="Times New Roman" w:hAnsi="Times New Roman" w:eastAsia="Times New Roman"/>
          <w:i/>
          <w:sz w:val="23"/>
        </w:rPr>
        <w:t>Cirsium palustre</w:t>
      </w:r>
      <w:r>
        <w:rPr>
          <w:rFonts w:ascii="Times New Roman" w:hAnsi="Times New Roman" w:eastAsia="Times New Roman"/>
          <w:sz w:val="23"/>
        </w:rPr>
        <w:t xml:space="preserve">. 1. </w:t>
      </w:r>
      <w:r>
        <w:rPr>
          <w:rFonts w:ascii="Times New Roman" w:hAnsi="Times New Roman" w:eastAsia="Times New Roman"/>
          <w:i/>
          <w:sz w:val="23"/>
        </w:rPr>
        <w:t>Heredity</w:t>
      </w:r>
      <w:r>
        <w:rPr>
          <w:rFonts w:ascii="Times New Roman" w:hAnsi="Times New Roman" w:eastAsia="Times New Roman"/>
          <w:sz w:val="23"/>
        </w:rPr>
        <w:t>, 33, 241–256. https://doi.org/10.1038/hdy.1974.90</w:t>
      </w:r>
    </w:p>
    <w:p>
      <w:r>
        <w:rPr>
          <w:rFonts w:ascii="Times New Roman" w:hAnsi="Times New Roman" w:eastAsia="Times New Roman"/>
          <w:sz w:val="23"/>
        </w:rPr>
        <w:t xml:space="preserve">Mogford, D. J. (1974b). Flower colour polymorphism in </w:t>
      </w:r>
      <w:r>
        <w:rPr>
          <w:rFonts w:ascii="Times New Roman" w:hAnsi="Times New Roman" w:eastAsia="Times New Roman"/>
          <w:i/>
          <w:sz w:val="23"/>
        </w:rPr>
        <w:t>Cirsium palustre</w:t>
      </w:r>
      <w:r>
        <w:rPr>
          <w:rFonts w:ascii="Times New Roman" w:hAnsi="Times New Roman" w:eastAsia="Times New Roman"/>
          <w:sz w:val="23"/>
        </w:rPr>
        <w:t xml:space="preserve">. 2. Pollination. </w:t>
      </w:r>
      <w:r>
        <w:rPr>
          <w:rFonts w:ascii="Times New Roman" w:hAnsi="Times New Roman" w:eastAsia="Times New Roman"/>
          <w:i/>
          <w:sz w:val="23"/>
        </w:rPr>
        <w:t>Heredity</w:t>
      </w:r>
      <w:r>
        <w:rPr>
          <w:rFonts w:ascii="Times New Roman" w:hAnsi="Times New Roman" w:eastAsia="Times New Roman"/>
          <w:sz w:val="23"/>
        </w:rPr>
        <w:t>, 33, 257–263. https://doi.org/10.1038/hdy.1974.91</w:t>
      </w:r>
    </w:p>
    <w:p>
      <w:r>
        <w:rPr>
          <w:rFonts w:ascii="Times New Roman" w:hAnsi="Times New Roman" w:eastAsia="Times New Roman"/>
          <w:sz w:val="23"/>
        </w:rPr>
        <w:t xml:space="preserve">Mogford, D. J. (1978). Pollination and flower colour polymorphism, with special reference to </w:t>
      </w:r>
      <w:r>
        <w:rPr>
          <w:rFonts w:ascii="Times New Roman" w:hAnsi="Times New Roman" w:eastAsia="Times New Roman"/>
          <w:i/>
          <w:sz w:val="23"/>
        </w:rPr>
        <w:t>Cirsium palustre</w:t>
      </w:r>
      <w:r>
        <w:rPr>
          <w:rFonts w:ascii="Times New Roman" w:hAnsi="Times New Roman" w:eastAsia="Times New Roman"/>
          <w:sz w:val="23"/>
        </w:rPr>
        <w:t xml:space="preserve">. In A. J. Richards (Ed.), </w:t>
      </w:r>
      <w:r>
        <w:rPr>
          <w:rFonts w:ascii="Times New Roman" w:hAnsi="Times New Roman" w:eastAsia="Times New Roman"/>
          <w:i/>
          <w:sz w:val="23"/>
        </w:rPr>
        <w:t>The pollination of flowers by insects</w:t>
      </w:r>
      <w:r>
        <w:rPr>
          <w:rFonts w:ascii="Times New Roman" w:hAnsi="Times New Roman" w:eastAsia="Times New Roman"/>
          <w:sz w:val="23"/>
        </w:rPr>
        <w:t xml:space="preserve"> (pp. 191–199). London: Academic Press for the Linnean Society of London.</w:t>
      </w:r>
    </w:p>
    <w:p>
      <w:r>
        <w:rPr>
          <w:rFonts w:ascii="Times New Roman" w:hAnsi="Times New Roman" w:eastAsia="Times New Roman"/>
          <w:sz w:val="23"/>
        </w:rPr>
        <w:t xml:space="preserve">Moreyra, L. D., Susanna, A., Calleja, J. A., Ackerfield, J. R., Arabacı, T., Blanco-Gavaldà, C., … Roquet, C. (2025). A thorny tale: The origin and diversification of </w:t>
      </w:r>
      <w:r>
        <w:rPr>
          <w:rFonts w:ascii="Times New Roman" w:hAnsi="Times New Roman" w:eastAsia="Times New Roman"/>
          <w:i/>
          <w:sz w:val="23"/>
        </w:rPr>
        <w:t>Cirsium</w:t>
      </w:r>
      <w:r>
        <w:rPr>
          <w:rFonts w:ascii="Times New Roman" w:hAnsi="Times New Roman" w:eastAsia="Times New Roman"/>
          <w:sz w:val="23"/>
        </w:rPr>
        <w:t xml:space="preserve"> (Compositae). </w:t>
      </w:r>
      <w:r>
        <w:rPr>
          <w:rFonts w:ascii="Times New Roman" w:hAnsi="Times New Roman" w:eastAsia="Times New Roman"/>
          <w:i/>
          <w:sz w:val="23"/>
        </w:rPr>
        <w:t>Molecular Phylogenetics and Evolution</w:t>
      </w:r>
      <w:r>
        <w:rPr>
          <w:rFonts w:ascii="Times New Roman" w:hAnsi="Times New Roman" w:eastAsia="Times New Roman"/>
          <w:sz w:val="23"/>
        </w:rPr>
        <w:t>, 204, 108285. https://doi.org/10.1016/j.ympev.2025.108285</w:t>
      </w:r>
    </w:p>
    <w:p>
      <w:r>
        <w:rPr>
          <w:rFonts w:ascii="Times New Roman" w:hAnsi="Times New Roman" w:eastAsia="Times New Roman"/>
          <w:sz w:val="23"/>
        </w:rPr>
        <w:t xml:space="preserve">Narbona, E., Wang, H., Ortiz, P. L., Arista, M. &amp; Imbert, E. (2018). Flower colour polymorphism in the Mediterranean Basin: occurrence, maintenance and implications for speciation. </w:t>
      </w:r>
      <w:r>
        <w:rPr>
          <w:rFonts w:ascii="Times New Roman" w:hAnsi="Times New Roman" w:eastAsia="Times New Roman"/>
          <w:i/>
          <w:sz w:val="23"/>
        </w:rPr>
        <w:t>Plant Biology</w:t>
      </w:r>
      <w:r>
        <w:rPr>
          <w:rFonts w:ascii="Times New Roman" w:hAnsi="Times New Roman" w:eastAsia="Times New Roman"/>
          <w:sz w:val="23"/>
        </w:rPr>
        <w:t>, 20, 8–20. https://doi.org/10.1111/plb.12575</w:t>
      </w:r>
    </w:p>
    <w:p>
      <w:r>
        <w:rPr>
          <w:rFonts w:ascii="Times New Roman" w:hAnsi="Times New Roman" w:eastAsia="Times New Roman"/>
          <w:sz w:val="23"/>
        </w:rPr>
        <w:t xml:space="preserve">Ohashi, K. &amp; Yahara, T. (1998). Effects of variation in flower number on pollinator visits in </w:t>
      </w:r>
      <w:r>
        <w:rPr>
          <w:rFonts w:ascii="Times New Roman" w:hAnsi="Times New Roman" w:eastAsia="Times New Roman"/>
          <w:i/>
          <w:sz w:val="23"/>
        </w:rPr>
        <w:t>Cirsium purpuratum</w:t>
      </w:r>
      <w:r>
        <w:rPr>
          <w:rFonts w:ascii="Times New Roman" w:hAnsi="Times New Roman" w:eastAsia="Times New Roman"/>
          <w:sz w:val="23"/>
        </w:rPr>
        <w:t xml:space="preserve"> (Asteraceae). </w:t>
      </w:r>
      <w:r>
        <w:rPr>
          <w:rFonts w:ascii="Times New Roman" w:hAnsi="Times New Roman" w:eastAsia="Times New Roman"/>
          <w:i/>
          <w:sz w:val="23"/>
        </w:rPr>
        <w:t>American Journal of Botany</w:t>
      </w:r>
      <w:r>
        <w:rPr>
          <w:rFonts w:ascii="Times New Roman" w:hAnsi="Times New Roman" w:eastAsia="Times New Roman"/>
          <w:sz w:val="23"/>
        </w:rPr>
        <w:t>, 85, 219–224. https://doi.org/10.2307/2446309</w:t>
      </w:r>
    </w:p>
    <w:p>
      <w:r>
        <w:rPr>
          <w:rFonts w:ascii="Times New Roman" w:hAnsi="Times New Roman" w:eastAsia="Times New Roman"/>
          <w:sz w:val="23"/>
        </w:rPr>
        <w:t xml:space="preserve">Ohashi, K. &amp; Yahara, T. (2000). Effects of flower production and predispersal seed predation on reproduction in </w:t>
      </w:r>
      <w:r>
        <w:rPr>
          <w:rFonts w:ascii="Times New Roman" w:hAnsi="Times New Roman" w:eastAsia="Times New Roman"/>
          <w:i/>
          <w:sz w:val="23"/>
        </w:rPr>
        <w:t>Cirsium purpuratum</w:t>
      </w:r>
      <w:r>
        <w:rPr>
          <w:rFonts w:ascii="Times New Roman" w:hAnsi="Times New Roman" w:eastAsia="Times New Roman"/>
          <w:sz w:val="23"/>
        </w:rPr>
        <w:t xml:space="preserve">. </w:t>
      </w:r>
      <w:r>
        <w:rPr>
          <w:rFonts w:ascii="Times New Roman" w:hAnsi="Times New Roman" w:eastAsia="Times New Roman"/>
          <w:i/>
          <w:sz w:val="23"/>
        </w:rPr>
        <w:t>Canadian Journal of Botany</w:t>
      </w:r>
      <w:r>
        <w:rPr>
          <w:rFonts w:ascii="Times New Roman" w:hAnsi="Times New Roman" w:eastAsia="Times New Roman"/>
          <w:sz w:val="23"/>
        </w:rPr>
        <w:t>, 78, 230–236. https://doi.org/10.1139/B99-182</w:t>
      </w:r>
    </w:p>
    <w:p>
      <w:r>
        <w:rPr>
          <w:rFonts w:ascii="Times New Roman" w:hAnsi="Times New Roman" w:eastAsia="Times New Roman"/>
          <w:sz w:val="23"/>
        </w:rPr>
        <w:t xml:space="preserve">Ohashi, K. &amp; Yahara, T. (2002). Visit larger displays but probe proportionally fewer flowers: counterintuitive behaviour of nectar-collecting bumble bees achieves an ideal free distribution. </w:t>
      </w:r>
      <w:r>
        <w:rPr>
          <w:rFonts w:ascii="Times New Roman" w:hAnsi="Times New Roman" w:eastAsia="Times New Roman"/>
          <w:i/>
          <w:sz w:val="23"/>
        </w:rPr>
        <w:t>Functional Ecology</w:t>
      </w:r>
      <w:r>
        <w:rPr>
          <w:rFonts w:ascii="Times New Roman" w:hAnsi="Times New Roman" w:eastAsia="Times New Roman"/>
          <w:sz w:val="23"/>
        </w:rPr>
        <w:t>, 16, 492–503. https://doi.org/10.1046/j.1365-2435.2002.00644.x</w:t>
      </w:r>
    </w:p>
    <w:p>
      <w:r>
        <w:rPr>
          <w:rFonts w:ascii="Times New Roman" w:hAnsi="Times New Roman" w:eastAsia="Times New Roman"/>
          <w:sz w:val="23"/>
        </w:rPr>
        <w:t xml:space="preserve">Peach, K., Liu, J. W. &amp; Mazer, S. J. (2020). Climate predicts UV floral pattern size, anthocyanin concentration, and pollen performance in </w:t>
      </w:r>
      <w:r>
        <w:rPr>
          <w:rFonts w:ascii="Times New Roman" w:hAnsi="Times New Roman" w:eastAsia="Times New Roman"/>
          <w:i/>
          <w:sz w:val="23"/>
        </w:rPr>
        <w:t>Clarkia unguiculata</w:t>
      </w:r>
      <w:r>
        <w:rPr>
          <w:rFonts w:ascii="Times New Roman" w:hAnsi="Times New Roman" w:eastAsia="Times New Roman"/>
          <w:sz w:val="23"/>
        </w:rPr>
        <w:t xml:space="preserve">. </w:t>
      </w:r>
      <w:r>
        <w:rPr>
          <w:rFonts w:ascii="Times New Roman" w:hAnsi="Times New Roman" w:eastAsia="Times New Roman"/>
          <w:i/>
          <w:sz w:val="23"/>
        </w:rPr>
        <w:t>Frontiers in Plant Science</w:t>
      </w:r>
      <w:r>
        <w:rPr>
          <w:rFonts w:ascii="Times New Roman" w:hAnsi="Times New Roman" w:eastAsia="Times New Roman"/>
          <w:sz w:val="23"/>
        </w:rPr>
        <w:t>, 11, 847. https://doi.org/10.3389/fpls.2020.00847</w:t>
      </w:r>
    </w:p>
    <w:p>
      <w:r>
        <w:rPr>
          <w:rFonts w:ascii="Times New Roman" w:hAnsi="Times New Roman" w:eastAsia="Times New Roman"/>
          <w:sz w:val="23"/>
        </w:rPr>
        <w:t xml:space="preserve">Rzanny, M., Mäder, P., Deggelmann, A., Chen, M. &amp; Wäldchen, J. (2019). Flowers, leaves or both? How to obtain suitable images for automated plant identification. </w:t>
      </w:r>
      <w:r>
        <w:rPr>
          <w:rFonts w:ascii="Times New Roman" w:hAnsi="Times New Roman" w:eastAsia="Times New Roman"/>
          <w:i/>
          <w:sz w:val="23"/>
        </w:rPr>
        <w:t>Plant Methods</w:t>
      </w:r>
      <w:r>
        <w:rPr>
          <w:rFonts w:ascii="Times New Roman" w:hAnsi="Times New Roman" w:eastAsia="Times New Roman"/>
          <w:sz w:val="23"/>
        </w:rPr>
        <w:t>, 15, 77. https://doi.org/10.1186/s13007-019-0462-4</w:t>
      </w:r>
    </w:p>
    <w:p>
      <w:r>
        <w:rPr>
          <w:rFonts w:ascii="Times New Roman" w:hAnsi="Times New Roman" w:eastAsia="Times New Roman"/>
          <w:sz w:val="23"/>
        </w:rPr>
        <w:t xml:space="preserve">Sharma, A., Trost, J., Lusk, D., Dollinger, J., Schrader, J., Rossi, C., … Kattenborn, T. (2026). PlantTraitNet: An uncertainty-aware multimodal framework for global-scale plant trait inference from citizen science data. </w:t>
      </w:r>
      <w:r>
        <w:rPr>
          <w:rFonts w:ascii="Times New Roman" w:hAnsi="Times New Roman" w:eastAsia="Times New Roman"/>
          <w:i/>
          <w:sz w:val="23"/>
        </w:rPr>
        <w:t>Proceedings of the AAAI Conference on Artificial Intelligence</w:t>
      </w:r>
      <w:r>
        <w:rPr>
          <w:rFonts w:ascii="Times New Roman" w:hAnsi="Times New Roman" w:eastAsia="Times New Roman"/>
          <w:sz w:val="23"/>
        </w:rPr>
        <w:t>, 40(46), 39239–39248. https://doi.org/10.1609/aaai.v40i46.41272</w:t>
      </w:r>
    </w:p>
    <w:p>
      <w:r>
        <w:rPr>
          <w:rFonts w:ascii="Times New Roman" w:hAnsi="Times New Roman" w:eastAsia="Times New Roman"/>
          <w:sz w:val="23"/>
        </w:rPr>
        <w:t xml:space="preserve">Siefert, A., Violle, C., Chalmandrier, L., Albert, C. H., Taudiere, A., Fajardo, A., … Wardle, D. A. (2015). A global meta-analysis of the relative extent of intraspecific trait variation in plant communities. </w:t>
      </w:r>
      <w:r>
        <w:rPr>
          <w:rFonts w:ascii="Times New Roman" w:hAnsi="Times New Roman" w:eastAsia="Times New Roman"/>
          <w:i/>
          <w:sz w:val="23"/>
        </w:rPr>
        <w:t>Ecology Letters</w:t>
      </w:r>
      <w:r>
        <w:rPr>
          <w:rFonts w:ascii="Times New Roman" w:hAnsi="Times New Roman" w:eastAsia="Times New Roman"/>
          <w:sz w:val="23"/>
        </w:rPr>
        <w:t>, 18, 1406–1419. https://doi.org/10.1111/ele.12508</w:t>
      </w:r>
    </w:p>
    <w:p>
      <w:r>
        <w:rPr>
          <w:rFonts w:ascii="Times New Roman" w:hAnsi="Times New Roman" w:eastAsia="Times New Roman"/>
          <w:sz w:val="23"/>
        </w:rPr>
        <w:t>Siniscalchi, C. M., Ackerfield, J. R. &amp; Folk, R. A. (2023). Diversification and biogeography of North American thistles (</w:t>
      </w:r>
      <w:r>
        <w:rPr>
          <w:rFonts w:ascii="Times New Roman" w:hAnsi="Times New Roman" w:eastAsia="Times New Roman"/>
          <w:i/>
          <w:sz w:val="23"/>
        </w:rPr>
        <w:t>Cirsium</w:t>
      </w:r>
      <w:r>
        <w:rPr>
          <w:rFonts w:ascii="Times New Roman" w:hAnsi="Times New Roman" w:eastAsia="Times New Roman"/>
          <w:sz w:val="23"/>
        </w:rPr>
        <w:t xml:space="preserve">: Carduoideae: Compositae): drivers of a rapid continent-wide radiation. </w:t>
      </w:r>
      <w:r>
        <w:rPr>
          <w:rFonts w:ascii="Times New Roman" w:hAnsi="Times New Roman" w:eastAsia="Times New Roman"/>
          <w:i/>
          <w:sz w:val="23"/>
        </w:rPr>
        <w:t>International Journal of Plant Sciences</w:t>
      </w:r>
      <w:r>
        <w:rPr>
          <w:rFonts w:ascii="Times New Roman" w:hAnsi="Times New Roman" w:eastAsia="Times New Roman"/>
          <w:sz w:val="23"/>
        </w:rPr>
        <w:t>, 184, 322–341. https://doi.org/10.1086/724310</w:t>
      </w:r>
    </w:p>
    <w:p>
      <w:r>
        <w:rPr>
          <w:rFonts w:ascii="Times New Roman" w:hAnsi="Times New Roman" w:eastAsia="Times New Roman"/>
          <w:sz w:val="23"/>
        </w:rPr>
        <w:t xml:space="preserve">Sullivan, C. N. &amp; Koski, M. H. (2021). The effects of climate change on floral anthocyanin polymorphisms. </w:t>
      </w:r>
      <w:r>
        <w:rPr>
          <w:rFonts w:ascii="Times New Roman" w:hAnsi="Times New Roman" w:eastAsia="Times New Roman"/>
          <w:i/>
          <w:sz w:val="23"/>
        </w:rPr>
        <w:t>Proceedings of the Royal Society B: Biological Sciences</w:t>
      </w:r>
      <w:r>
        <w:rPr>
          <w:rFonts w:ascii="Times New Roman" w:hAnsi="Times New Roman" w:eastAsia="Times New Roman"/>
          <w:sz w:val="23"/>
        </w:rPr>
        <w:t>, 288, 20202693. https://doi.org/10.1098/rspb.2020.2693</w:t>
      </w:r>
    </w:p>
    <w:p>
      <w:r>
        <w:rPr>
          <w:rFonts w:ascii="Times New Roman" w:hAnsi="Times New Roman" w:eastAsia="Times New Roman"/>
          <w:sz w:val="23"/>
        </w:rPr>
        <w:t>Theis, N. (2006). Fragrance of Canada thistle (</w:t>
      </w:r>
      <w:r>
        <w:rPr>
          <w:rFonts w:ascii="Times New Roman" w:hAnsi="Times New Roman" w:eastAsia="Times New Roman"/>
          <w:i/>
          <w:sz w:val="23"/>
        </w:rPr>
        <w:t>Cirsium arvense</w:t>
      </w:r>
      <w:r>
        <w:rPr>
          <w:rFonts w:ascii="Times New Roman" w:hAnsi="Times New Roman" w:eastAsia="Times New Roman"/>
          <w:sz w:val="23"/>
        </w:rPr>
        <w:t xml:space="preserve">) attracts both floral herbivores and pollinators. </w:t>
      </w:r>
      <w:r>
        <w:rPr>
          <w:rFonts w:ascii="Times New Roman" w:hAnsi="Times New Roman" w:eastAsia="Times New Roman"/>
          <w:i/>
          <w:sz w:val="23"/>
        </w:rPr>
        <w:t>Journal of Chemical Ecology</w:t>
      </w:r>
      <w:r>
        <w:rPr>
          <w:rFonts w:ascii="Times New Roman" w:hAnsi="Times New Roman" w:eastAsia="Times New Roman"/>
          <w:sz w:val="23"/>
        </w:rPr>
        <w:t>, 32, 917–927. https://doi.org/10.1007/s10886-006-9051-x</w:t>
      </w:r>
    </w:p>
    <w:p>
      <w:r>
        <w:rPr>
          <w:rFonts w:ascii="Times New Roman" w:hAnsi="Times New Roman" w:eastAsia="Times New Roman"/>
          <w:sz w:val="23"/>
        </w:rPr>
        <w:t xml:space="preserve">Theis, N., Lerdau, M. &amp; Raguso, R. A. (2007). The challenge of attracting pollinators while evading floral herbivores: patterns of fragrance emission in </w:t>
      </w:r>
      <w:r>
        <w:rPr>
          <w:rFonts w:ascii="Times New Roman" w:hAnsi="Times New Roman" w:eastAsia="Times New Roman"/>
          <w:i/>
          <w:sz w:val="23"/>
        </w:rPr>
        <w:t>Cirsium arvense</w:t>
      </w:r>
      <w:r>
        <w:rPr>
          <w:rFonts w:ascii="Times New Roman" w:hAnsi="Times New Roman" w:eastAsia="Times New Roman"/>
          <w:sz w:val="23"/>
        </w:rPr>
        <w:t xml:space="preserve"> and </w:t>
      </w:r>
      <w:r>
        <w:rPr>
          <w:rFonts w:ascii="Times New Roman" w:hAnsi="Times New Roman" w:eastAsia="Times New Roman"/>
          <w:i/>
          <w:sz w:val="23"/>
        </w:rPr>
        <w:t>Cirsium repandum</w:t>
      </w:r>
      <w:r>
        <w:rPr>
          <w:rFonts w:ascii="Times New Roman" w:hAnsi="Times New Roman" w:eastAsia="Times New Roman"/>
          <w:sz w:val="23"/>
        </w:rPr>
        <w:t xml:space="preserve"> (Asteraceae). </w:t>
      </w:r>
      <w:r>
        <w:rPr>
          <w:rFonts w:ascii="Times New Roman" w:hAnsi="Times New Roman" w:eastAsia="Times New Roman"/>
          <w:i/>
          <w:sz w:val="23"/>
        </w:rPr>
        <w:t>International Journal of Plant Sciences</w:t>
      </w:r>
      <w:r>
        <w:rPr>
          <w:rFonts w:ascii="Times New Roman" w:hAnsi="Times New Roman" w:eastAsia="Times New Roman"/>
          <w:sz w:val="23"/>
        </w:rPr>
        <w:t>, 168, 587–601. https://doi.org/10.1086/513481</w:t>
      </w:r>
    </w:p>
    <w:p>
      <w:r>
        <w:rPr>
          <w:rFonts w:ascii="Times New Roman" w:hAnsi="Times New Roman" w:eastAsia="Times New Roman"/>
          <w:sz w:val="23"/>
        </w:rPr>
        <w:t xml:space="preserve">Troudet, J., Grandcolas, P., Blin, A., Vignes-Lebbe, R. &amp; Legendre, F. (2017). Taxonomic bias in biodiversity data and societal preferences. </w:t>
      </w:r>
      <w:r>
        <w:rPr>
          <w:rFonts w:ascii="Times New Roman" w:hAnsi="Times New Roman" w:eastAsia="Times New Roman"/>
          <w:i/>
          <w:sz w:val="23"/>
        </w:rPr>
        <w:t>Scientific Reports</w:t>
      </w:r>
      <w:r>
        <w:rPr>
          <w:rFonts w:ascii="Times New Roman" w:hAnsi="Times New Roman" w:eastAsia="Times New Roman"/>
          <w:sz w:val="23"/>
        </w:rPr>
        <w:t>, 7, 9132. https://doi.org/10.1038/s41598-017-09084-6</w:t>
      </w:r>
    </w:p>
    <w:p>
      <w:r>
        <w:rPr>
          <w:rFonts w:ascii="Times New Roman" w:hAnsi="Times New Roman" w:eastAsia="Times New Roman"/>
          <w:sz w:val="23"/>
        </w:rPr>
        <w:t>Vaidya, P., McDurmon, A., Mattoon, E., Keefe, M., Carley, L., Lee, C.-R., … Anderson, J. T. (2018). Ecological causes and consequences of flower color polymorphism in a self-pollinating plant (</w:t>
      </w:r>
      <w:r>
        <w:rPr>
          <w:rFonts w:ascii="Times New Roman" w:hAnsi="Times New Roman" w:eastAsia="Times New Roman"/>
          <w:i/>
          <w:sz w:val="23"/>
        </w:rPr>
        <w:t>Boechera stricta</w:t>
      </w:r>
      <w:r>
        <w:rPr>
          <w:rFonts w:ascii="Times New Roman" w:hAnsi="Times New Roman" w:eastAsia="Times New Roman"/>
          <w:sz w:val="23"/>
        </w:rPr>
        <w:t xml:space="preserve">). </w:t>
      </w:r>
      <w:r>
        <w:rPr>
          <w:rFonts w:ascii="Times New Roman" w:hAnsi="Times New Roman" w:eastAsia="Times New Roman"/>
          <w:i/>
          <w:sz w:val="23"/>
        </w:rPr>
        <w:t>New Phytologist</w:t>
      </w:r>
      <w:r>
        <w:rPr>
          <w:rFonts w:ascii="Times New Roman" w:hAnsi="Times New Roman" w:eastAsia="Times New Roman"/>
          <w:sz w:val="23"/>
        </w:rPr>
        <w:t>, 218, 380–392. https://doi.org/10.1111/nph.14998</w:t>
      </w:r>
    </w:p>
    <w:p>
      <w:r>
        <w:rPr>
          <w:rFonts w:ascii="Times New Roman" w:hAnsi="Times New Roman" w:eastAsia="Times New Roman"/>
          <w:sz w:val="23"/>
        </w:rPr>
        <w:t xml:space="preserve">van der Kooi, C. J., Kevan, P. G. &amp; Koski, M. H. (2019). The thermal ecology of flowers. </w:t>
      </w:r>
      <w:r>
        <w:rPr>
          <w:rFonts w:ascii="Times New Roman" w:hAnsi="Times New Roman" w:eastAsia="Times New Roman"/>
          <w:i/>
          <w:sz w:val="23"/>
        </w:rPr>
        <w:t>Annals of Botany</w:t>
      </w:r>
      <w:r>
        <w:rPr>
          <w:rFonts w:ascii="Times New Roman" w:hAnsi="Times New Roman" w:eastAsia="Times New Roman"/>
          <w:sz w:val="23"/>
        </w:rPr>
        <w:t>, 124, 343–353. https://doi.org/10.1093/aob/mcz073</w:t>
      </w:r>
    </w:p>
    <w:p>
      <w:r>
        <w:rPr>
          <w:rFonts w:ascii="Times New Roman" w:hAnsi="Times New Roman" w:eastAsia="Times New Roman"/>
          <w:sz w:val="23"/>
        </w:rPr>
        <w:t xml:space="preserve">Van Horn, G., Mac Aodha, O., Song, Y., Cui, Y., Sun, C., Shepard, A., … Belongie, S. (2018). The iNaturalist Species Classification and Detection Dataset. In </w:t>
      </w:r>
      <w:r>
        <w:rPr>
          <w:rFonts w:ascii="Times New Roman" w:hAnsi="Times New Roman" w:eastAsia="Times New Roman"/>
          <w:i/>
          <w:sz w:val="23"/>
        </w:rPr>
        <w:t>Proceedings of the IEEE Conference on Computer Vision and Pattern Recognition</w:t>
      </w:r>
      <w:r>
        <w:rPr>
          <w:rFonts w:ascii="Times New Roman" w:hAnsi="Times New Roman" w:eastAsia="Times New Roman"/>
          <w:sz w:val="23"/>
        </w:rPr>
        <w:t>, 8769–8778. https://doi.org/10.1109/CVPR.2018.00914</w:t>
      </w:r>
    </w:p>
    <w:p>
      <w:r>
        <w:rPr>
          <w:rFonts w:ascii="Times New Roman" w:hAnsi="Times New Roman" w:eastAsia="Times New Roman"/>
          <w:sz w:val="23"/>
        </w:rPr>
        <w:t xml:space="preserve">Violle, C., Enquist, B. J., McGill, B. J., Jiang, L., Albert, C. H., Hulshof, C., … Messier, J. (2012). The return of the variance: intraspecific variability in community ecology. </w:t>
      </w:r>
      <w:r>
        <w:rPr>
          <w:rFonts w:ascii="Times New Roman" w:hAnsi="Times New Roman" w:eastAsia="Times New Roman"/>
          <w:i/>
          <w:sz w:val="23"/>
        </w:rPr>
        <w:t>Trends in Ecology &amp; Evolution</w:t>
      </w:r>
      <w:r>
        <w:rPr>
          <w:rFonts w:ascii="Times New Roman" w:hAnsi="Times New Roman" w:eastAsia="Times New Roman"/>
          <w:sz w:val="23"/>
        </w:rPr>
        <w:t>, 27, 244–252. https://doi.org/10.1016/j.tree.2011.11.014</w:t>
      </w:r>
    </w:p>
    <w:p>
      <w:r>
        <w:rPr>
          <w:rFonts w:ascii="Times New Roman" w:hAnsi="Times New Roman" w:eastAsia="Times New Roman"/>
          <w:sz w:val="23"/>
        </w:rPr>
        <w:t xml:space="preserve">Wäldchen, J. &amp; Mäder, P. (2018). Machine learning for image-based species identification. </w:t>
      </w:r>
      <w:r>
        <w:rPr>
          <w:rFonts w:ascii="Times New Roman" w:hAnsi="Times New Roman" w:eastAsia="Times New Roman"/>
          <w:i/>
          <w:sz w:val="23"/>
        </w:rPr>
        <w:t>Methods in Ecology and Evolution</w:t>
      </w:r>
      <w:r>
        <w:rPr>
          <w:rFonts w:ascii="Times New Roman" w:hAnsi="Times New Roman" w:eastAsia="Times New Roman"/>
          <w:sz w:val="23"/>
        </w:rPr>
        <w:t>, 9, 2216–2225. https://doi.org/10.1111/2041-210X.13075</w:t>
      </w:r>
    </w:p>
    <w:p>
      <w:pPr>
        <w:pStyle w:val="Heading1"/>
      </w:pPr>
      <w:r>
        <w:t>Data and code availability</w:t>
      </w:r>
    </w:p>
    <w:p>
      <w:r>
        <w:rPr>
          <w:rFonts w:ascii="Times New Roman" w:hAnsi="Times New Roman" w:eastAsia="Times New Roman"/>
          <w:sz w:val="23"/>
        </w:rPr>
        <w:t>A versioned submission-candidate bundle accompanies this repository. It contains the blinded Main and Supporting Information files, the formatted Main Tables 1–2 and Tables S1–S10 workbook, derived CSV tables, model outputs, figure sources and SHA-256 reproducibility manifests.</w:t>
      </w:r>
    </w:p>
    <w:p>
      <w:r>
        <w:rPr>
          <w:rFonts w:ascii="Times New Roman" w:hAnsi="Times New Roman" w:eastAsia="Times New Roman"/>
          <w:sz w:val="23"/>
        </w:rPr>
        <w:t>The public GitHub repository is not an anonymous review link. Before submission, the exact bundle will be copied to an anonymized read-only location without Git history or account identifiers. Source photographs will not be redistributed beyond their individual licence terms. GitHub Actions artifacts are temporary execution records, not a durable archive.</w:t>
      </w:r>
    </w:p>
    <w:p>
      <w:r>
        <w:rPr>
          <w:rFonts w:ascii="Times New Roman" w:hAnsi="Times New Roman" w:eastAsia="Times New Roman"/>
          <w:sz w:val="23"/>
        </w:rPr>
        <w:t>After the independent validation gates, author metadata and repository licence are complete, the exact supporting version will be deposited in a durable repository with a persistent digital object identifier. This statement will then give the final repository name, DOI and access terms.</w:t>
      </w:r>
    </w:p>
    <w:p>
      <w:r>
        <w:br w:type="page"/>
      </w:r>
    </w:p>
    <w:p>
      <w:pPr>
        <w:pStyle w:val="Heading1"/>
      </w:pPr>
      <w:r>
        <w:t>Tables</w:t>
      </w:r>
    </w:p>
    <w:p>
      <w:pPr>
        <w:keepNext/>
      </w:pPr>
      <w:r>
        <w:rPr>
          <w:rFonts w:ascii="Times New Roman" w:hAnsi="Times New Roman" w:eastAsia="Times New Roman"/>
          <w:b/>
          <w:sz w:val="20"/>
        </w:rPr>
        <w:t>Table 1. Compact analytical roadmap for the global public-image study of thistle capitula. Each stage identifies its frozen scope, operation or decision gate, and linked display; the full eight-column roadmap is Table S10.</w:t>
      </w:r>
    </w:p>
    <w:tbl>
      <w:tblPr>
        <w:tblStyle w:val="TableGrid"/>
        <w:tblW w:type="auto" w:w="0"/>
        <w:tblLayout w:type="fixed"/>
        <w:tblLook w:firstColumn="1" w:firstRow="1" w:lastColumn="0" w:lastRow="0" w:noHBand="0" w:noVBand="1" w:val="04A0"/>
      </w:tblPr>
      <w:tblGrid>
        <w:gridCol w:w="2257"/>
        <w:gridCol w:w="2257"/>
        <w:gridCol w:w="2257"/>
        <w:gridCol w:w="2257"/>
      </w:tblGrid>
      <w:tr>
        <w:trPr>
          <w:tblHeader w:val="true"/>
        </w:trPr>
        <w:tc>
          <w:tcPr>
            <w:tcW w:type="dxa" w:w="1584"/>
            <w:shd w:fill="0F5B66"/>
            <w:vAlign w:val="top"/>
          </w:tcPr>
          <w:p>
            <w:pPr>
              <w:spacing w:after="0" w:line="240" w:lineRule="auto"/>
            </w:pPr>
            <w:r>
              <w:rPr>
                <w:rFonts w:ascii="Times New Roman" w:hAnsi="Times New Roman" w:eastAsia="Times New Roman"/>
                <w:b/>
                <w:color w:val="FFFFFF"/>
                <w:sz w:val="15"/>
              </w:rPr>
              <w:t>analytical stage</w:t>
            </w:r>
          </w:p>
        </w:tc>
        <w:tc>
          <w:tcPr>
            <w:tcW w:type="dxa" w:w="1944"/>
            <w:shd w:fill="0F5B66"/>
            <w:vAlign w:val="top"/>
          </w:tcPr>
          <w:p>
            <w:pPr>
              <w:spacing w:after="0" w:line="240" w:lineRule="auto"/>
            </w:pPr>
            <w:r>
              <w:rPr>
                <w:rFonts w:ascii="Times New Roman" w:hAnsi="Times New Roman" w:eastAsia="Times New Roman"/>
                <w:b/>
                <w:color w:val="FFFFFF"/>
                <w:sz w:val="15"/>
              </w:rPr>
              <w:t>frozen scope</w:t>
            </w:r>
          </w:p>
        </w:tc>
        <w:tc>
          <w:tcPr>
            <w:tcW w:type="dxa" w:w="3960"/>
            <w:shd w:fill="0F5B66"/>
            <w:vAlign w:val="top"/>
          </w:tcPr>
          <w:p>
            <w:pPr>
              <w:spacing w:after="0" w:line="240" w:lineRule="auto"/>
            </w:pPr>
            <w:r>
              <w:rPr>
                <w:rFonts w:ascii="Times New Roman" w:hAnsi="Times New Roman" w:eastAsia="Times New Roman"/>
                <w:b/>
                <w:color w:val="FFFFFF"/>
                <w:sz w:val="15"/>
              </w:rPr>
              <w:t>operation and gate</w:t>
            </w:r>
          </w:p>
        </w:tc>
        <w:tc>
          <w:tcPr>
            <w:tcW w:type="dxa" w:w="1440"/>
            <w:shd w:fill="0F5B66"/>
            <w:vAlign w:val="top"/>
          </w:tcPr>
          <w:p>
            <w:pPr>
              <w:spacing w:after="0" w:line="240" w:lineRule="auto"/>
            </w:pPr>
            <w:r>
              <w:rPr>
                <w:rFonts w:ascii="Times New Roman" w:hAnsi="Times New Roman" w:eastAsia="Times New Roman"/>
                <w:b/>
                <w:color w:val="FFFFFF"/>
                <w:sz w:val="15"/>
              </w:rPr>
              <w:t>linked display</w:t>
            </w:r>
          </w:p>
        </w:tc>
      </w:tr>
      <w:tr>
        <w:tc>
          <w:tcPr>
            <w:tcW w:type="dxa" w:w="1584"/>
            <w:shd w:fill="EAF3F5"/>
            <w:vAlign w:val="top"/>
          </w:tcPr>
          <w:p>
            <w:pPr>
              <w:spacing w:after="0" w:line="240" w:lineRule="auto"/>
            </w:pPr>
            <w:r>
              <w:rPr>
                <w:rFonts w:ascii="Times New Roman" w:hAnsi="Times New Roman" w:eastAsia="Times New Roman"/>
                <w:sz w:val="15"/>
              </w:rPr>
              <w:t>Photo localization</w:t>
            </w:r>
          </w:p>
        </w:tc>
        <w:tc>
          <w:tcPr>
            <w:tcW w:type="dxa" w:w="1944"/>
            <w:shd w:fill="EAF3F5"/>
            <w:vAlign w:val="top"/>
          </w:tcPr>
          <w:p>
            <w:pPr>
              <w:spacing w:after="0" w:line="240" w:lineRule="auto"/>
            </w:pPr>
            <w:r>
              <w:rPr>
                <w:rFonts w:ascii="Times New Roman" w:hAnsi="Times New Roman" w:eastAsia="Times New Roman"/>
                <w:sz w:val="15"/>
              </w:rPr>
              <w:t>Visible-capitulum bounding boxes</w:t>
            </w:r>
          </w:p>
        </w:tc>
        <w:tc>
          <w:tcPr>
            <w:tcW w:type="dxa" w:w="3960"/>
            <w:shd w:fill="EAF3F5"/>
            <w:vAlign w:val="top"/>
          </w:tcPr>
          <w:p>
            <w:pPr>
              <w:spacing w:after="0" w:line="240" w:lineRule="auto"/>
            </w:pPr>
            <w:r>
              <w:rPr>
                <w:rFonts w:ascii="Times New Roman" w:hAnsi="Times New Roman" w:eastAsia="Times New Roman"/>
                <w:sz w:val="15"/>
              </w:rPr>
              <w:t>YOLO localization only; deterministic functions score traits after cropping. Gate: A box defines the image unit; independent detector validation remains an external gate</w:t>
            </w:r>
          </w:p>
        </w:tc>
        <w:tc>
          <w:tcPr>
            <w:tcW w:type="dxa" w:w="1440"/>
            <w:shd w:fill="EAF3F5"/>
            <w:vAlign w:val="top"/>
          </w:tcPr>
          <w:p>
            <w:pPr>
              <w:spacing w:after="0" w:line="240" w:lineRule="auto"/>
            </w:pPr>
            <w:r>
              <w:rPr>
                <w:rFonts w:ascii="Times New Roman" w:hAnsi="Times New Roman" w:eastAsia="Times New Roman"/>
                <w:sz w:val="15"/>
              </w:rPr>
              <w:t>Figure 1; Tables S1-S2</w:t>
            </w:r>
          </w:p>
        </w:tc>
      </w:tr>
      <w:tr>
        <w:tc>
          <w:tcPr>
            <w:tcW w:type="dxa" w:w="1584"/>
            <w:vAlign w:val="top"/>
          </w:tcPr>
          <w:p>
            <w:pPr>
              <w:spacing w:after="0" w:line="240" w:lineRule="auto"/>
            </w:pPr>
            <w:r>
              <w:rPr>
                <w:rFonts w:ascii="Times New Roman" w:hAnsi="Times New Roman" w:eastAsia="Times New Roman"/>
                <w:sz w:val="15"/>
              </w:rPr>
              <w:t>Cohort and realized domain</w:t>
            </w:r>
          </w:p>
        </w:tc>
        <w:tc>
          <w:tcPr>
            <w:tcW w:type="dxa" w:w="1944"/>
            <w:vAlign w:val="top"/>
          </w:tcPr>
          <w:p>
            <w:pPr>
              <w:spacing w:after="0" w:line="240" w:lineRule="auto"/>
            </w:pPr>
            <w:r>
              <w:rPr>
                <w:rFonts w:ascii="Times New Roman" w:hAnsi="Times New Roman" w:eastAsia="Times New Roman"/>
                <w:sz w:val="15"/>
              </w:rPr>
              <w:t>46,276 observations; 259 source-assigned taxa</w:t>
            </w:r>
          </w:p>
        </w:tc>
        <w:tc>
          <w:tcPr>
            <w:tcW w:type="dxa" w:w="3960"/>
            <w:vAlign w:val="top"/>
          </w:tcPr>
          <w:p>
            <w:pPr>
              <w:spacing w:after="0" w:line="240" w:lineRule="auto"/>
            </w:pPr>
            <w:r>
              <w:rPr>
                <w:rFonts w:ascii="Times New Roman" w:hAnsi="Times New Roman" w:eastAsia="Times New Roman"/>
                <w:sz w:val="15"/>
              </w:rPr>
              <w:t>Maximum 10-km positional uncertainty; one observation per taxon by 0.25-degree cell. Gate: Freeze the realized sampling domain before examining endpoint values</w:t>
            </w:r>
          </w:p>
        </w:tc>
        <w:tc>
          <w:tcPr>
            <w:tcW w:type="dxa" w:w="1440"/>
            <w:vAlign w:val="top"/>
          </w:tcPr>
          <w:p>
            <w:pPr>
              <w:spacing w:after="0" w:line="240" w:lineRule="auto"/>
            </w:pPr>
            <w:r>
              <w:rPr>
                <w:rFonts w:ascii="Times New Roman" w:hAnsi="Times New Roman" w:eastAsia="Times New Roman"/>
                <w:sz w:val="15"/>
              </w:rPr>
              <w:t>Figure 2; Table S2</w:t>
            </w:r>
          </w:p>
        </w:tc>
      </w:tr>
      <w:tr>
        <w:tc>
          <w:tcPr>
            <w:tcW w:type="dxa" w:w="1584"/>
            <w:shd w:fill="EAF3F5"/>
            <w:vAlign w:val="top"/>
          </w:tcPr>
          <w:p>
            <w:pPr>
              <w:spacing w:after="0" w:line="240" w:lineRule="auto"/>
            </w:pPr>
            <w:r>
              <w:rPr>
                <w:rFonts w:ascii="Times New Roman" w:hAnsi="Times New Roman" w:eastAsia="Times New Roman"/>
                <w:sz w:val="15"/>
              </w:rPr>
              <w:t>Continuous measurement contract</w:t>
            </w:r>
          </w:p>
        </w:tc>
        <w:tc>
          <w:tcPr>
            <w:tcW w:type="dxa" w:w="1944"/>
            <w:shd w:fill="EAF3F5"/>
            <w:vAlign w:val="top"/>
          </w:tcPr>
          <w:p>
            <w:pPr>
              <w:spacing w:after="0" w:line="240" w:lineRule="auto"/>
            </w:pPr>
            <w:r>
              <w:rPr>
                <w:rFonts w:ascii="Times New Roman" w:hAnsi="Times New Roman" w:eastAsia="Times New Roman"/>
                <w:sz w:val="15"/>
              </w:rPr>
              <w:t>27 registered endpoints; 22 measured; five explicit unexecuted</w:t>
            </w:r>
          </w:p>
        </w:tc>
        <w:tc>
          <w:tcPr>
            <w:tcW w:type="dxa" w:w="3960"/>
            <w:shd w:fill="EAF3F5"/>
            <w:vAlign w:val="top"/>
          </w:tcPr>
          <w:p>
            <w:pPr>
              <w:spacing w:after="0" w:line="240" w:lineRule="auto"/>
            </w:pPr>
            <w:r>
              <w:rPr>
                <w:rFonts w:ascii="Times New Roman" w:hAnsi="Times New Roman" w:eastAsia="Times New Roman"/>
                <w:sz w:val="15"/>
              </w:rPr>
              <w:t>Deterministic orientation, visible-colour, outline and fine-geometry measurements. Gate: Missing or unassessable measurement remains missing evidence</w:t>
            </w:r>
          </w:p>
        </w:tc>
        <w:tc>
          <w:tcPr>
            <w:tcW w:type="dxa" w:w="1440"/>
            <w:shd w:fill="EAF3F5"/>
            <w:vAlign w:val="top"/>
          </w:tcPr>
          <w:p>
            <w:pPr>
              <w:spacing w:after="0" w:line="240" w:lineRule="auto"/>
            </w:pPr>
            <w:r>
              <w:rPr>
                <w:rFonts w:ascii="Times New Roman" w:hAnsi="Times New Roman" w:eastAsia="Times New Roman"/>
                <w:sz w:val="15"/>
              </w:rPr>
              <w:t>Figure 1; Table S1</w:t>
            </w:r>
          </w:p>
        </w:tc>
      </w:tr>
      <w:tr>
        <w:tc>
          <w:tcPr>
            <w:tcW w:type="dxa" w:w="1584"/>
            <w:vAlign w:val="top"/>
          </w:tcPr>
          <w:p>
            <w:pPr>
              <w:spacing w:after="0" w:line="240" w:lineRule="auto"/>
            </w:pPr>
            <w:r>
              <w:rPr>
                <w:rFonts w:ascii="Times New Roman" w:hAnsi="Times New Roman" w:eastAsia="Times New Roman"/>
                <w:sz w:val="15"/>
              </w:rPr>
              <w:t>Taxon-mean information loss</w:t>
            </w:r>
          </w:p>
        </w:tc>
        <w:tc>
          <w:tcPr>
            <w:tcW w:type="dxa" w:w="1944"/>
            <w:vAlign w:val="top"/>
          </w:tcPr>
          <w:p>
            <w:pPr>
              <w:spacing w:after="0" w:line="240" w:lineRule="auto"/>
            </w:pPr>
            <w:r>
              <w:rPr>
                <w:rFonts w:ascii="Times New Roman" w:hAnsi="Times New Roman" w:eastAsia="Times New Roman"/>
                <w:sz w:val="15"/>
              </w:rPr>
              <w:t>22 measured endpoints</w:t>
            </w:r>
          </w:p>
        </w:tc>
        <w:tc>
          <w:tcPr>
            <w:tcW w:type="dxa" w:w="3960"/>
            <w:vAlign w:val="top"/>
          </w:tcPr>
          <w:p>
            <w:pPr>
              <w:spacing w:after="0" w:line="240" w:lineRule="auto"/>
            </w:pPr>
            <w:r>
              <w:rPr>
                <w:rFonts w:ascii="Times New Roman" w:hAnsi="Times New Roman" w:eastAsia="Times New Roman"/>
                <w:sz w:val="15"/>
              </w:rPr>
              <w:t>Raw sums-of-squares partition plus 500 two-observations-per-taxon resamples. Gate: Describe visible image-phenotype information loss, not genetic variance</w:t>
            </w:r>
          </w:p>
        </w:tc>
        <w:tc>
          <w:tcPr>
            <w:tcW w:type="dxa" w:w="1440"/>
            <w:vAlign w:val="top"/>
          </w:tcPr>
          <w:p>
            <w:pPr>
              <w:spacing w:after="0" w:line="240" w:lineRule="auto"/>
            </w:pPr>
            <w:r>
              <w:rPr>
                <w:rFonts w:ascii="Times New Roman" w:hAnsi="Times New Roman" w:eastAsia="Times New Roman"/>
                <w:sz w:val="15"/>
              </w:rPr>
              <w:t>Figure 3; Table S3</w:t>
            </w:r>
          </w:p>
        </w:tc>
      </w:tr>
      <w:tr>
        <w:tc>
          <w:tcPr>
            <w:tcW w:type="dxa" w:w="1584"/>
            <w:shd w:fill="EAF3F5"/>
            <w:vAlign w:val="top"/>
          </w:tcPr>
          <w:p>
            <w:pPr>
              <w:spacing w:after="0" w:line="240" w:lineRule="auto"/>
            </w:pPr>
            <w:r>
              <w:rPr>
                <w:rFonts w:ascii="Times New Roman" w:hAnsi="Times New Roman" w:eastAsia="Times New Roman"/>
                <w:sz w:val="15"/>
              </w:rPr>
              <w:t>Within/among environmental atlas</w:t>
            </w:r>
          </w:p>
        </w:tc>
        <w:tc>
          <w:tcPr>
            <w:tcW w:type="dxa" w:w="1944"/>
            <w:shd w:fill="EAF3F5"/>
            <w:vAlign w:val="top"/>
          </w:tcPr>
          <w:p>
            <w:pPr>
              <w:spacing w:after="0" w:line="240" w:lineRule="auto"/>
            </w:pPr>
            <w:r>
              <w:rPr>
                <w:rFonts w:ascii="Times New Roman" w:hAnsi="Times New Roman" w:eastAsia="Times New Roman"/>
                <w:sz w:val="15"/>
              </w:rPr>
              <w:t>26 inferential units by nine predictors in six blocks; 234 canonical rows</w:t>
            </w:r>
          </w:p>
        </w:tc>
        <w:tc>
          <w:tcPr>
            <w:tcW w:type="dxa" w:w="3960"/>
            <w:shd w:fill="EAF3F5"/>
            <w:vAlign w:val="top"/>
          </w:tcPr>
          <w:p>
            <w:pPr>
              <w:spacing w:after="0" w:line="240" w:lineRule="auto"/>
            </w:pPr>
            <w:r>
              <w:rPr>
                <w:rFonts w:ascii="Times New Roman" w:hAnsi="Times New Roman" w:eastAsia="Times New Roman"/>
                <w:sz w:val="15"/>
              </w:rPr>
              <w:t>Taxon-demeaned clustered models and taxon-label permutations; separate global BH families. Gate: Classify every row as both, within-only, among-only, neither or not-comparable</w:t>
            </w:r>
          </w:p>
        </w:tc>
        <w:tc>
          <w:tcPr>
            <w:tcW w:type="dxa" w:w="1440"/>
            <w:shd w:fill="EAF3F5"/>
            <w:vAlign w:val="top"/>
          </w:tcPr>
          <w:p>
            <w:pPr>
              <w:spacing w:after="0" w:line="240" w:lineRule="auto"/>
            </w:pPr>
            <w:r>
              <w:rPr>
                <w:rFonts w:ascii="Times New Roman" w:hAnsi="Times New Roman" w:eastAsia="Times New Roman"/>
                <w:sz w:val="15"/>
              </w:rPr>
              <w:t>Figure 4; Tables S4-S6</w:t>
            </w:r>
          </w:p>
        </w:tc>
      </w:tr>
      <w:tr>
        <w:tc>
          <w:tcPr>
            <w:tcW w:type="dxa" w:w="1584"/>
            <w:vAlign w:val="top"/>
          </w:tcPr>
          <w:p>
            <w:pPr>
              <w:spacing w:after="0" w:line="240" w:lineRule="auto"/>
            </w:pPr>
            <w:r>
              <w:rPr>
                <w:rFonts w:ascii="Times New Roman" w:hAnsi="Times New Roman" w:eastAsia="Times New Roman"/>
                <w:sz w:val="15"/>
              </w:rPr>
              <w:t>Sampling-composition audit</w:t>
            </w:r>
          </w:p>
        </w:tc>
        <w:tc>
          <w:tcPr>
            <w:tcW w:type="dxa" w:w="1944"/>
            <w:vAlign w:val="top"/>
          </w:tcPr>
          <w:p>
            <w:pPr>
              <w:spacing w:after="0" w:line="240" w:lineRule="auto"/>
            </w:pPr>
            <w:r>
              <w:rPr>
                <w:rFonts w:ascii="Times New Roman" w:hAnsi="Times New Roman" w:eastAsia="Times New Roman"/>
                <w:sz w:val="15"/>
              </w:rPr>
              <w:t>674 evaluable retrospective scenarios</w:t>
            </w:r>
          </w:p>
        </w:tc>
        <w:tc>
          <w:tcPr>
            <w:tcW w:type="dxa" w:w="3960"/>
            <w:vAlign w:val="top"/>
          </w:tcPr>
          <w:p>
            <w:pPr>
              <w:spacing w:after="0" w:line="240" w:lineRule="auto"/>
            </w:pPr>
            <w:r>
              <w:rPr>
                <w:rFonts w:ascii="Times New Roman" w:hAnsi="Times New Roman" w:eastAsia="Times New Roman"/>
                <w:sz w:val="15"/>
              </w:rPr>
              <w:t>Direction and effect-magnitude retention only; no post-selection P values. Gate: Annotate sensitivity without converting the sample into a probability sample</w:t>
            </w:r>
          </w:p>
        </w:tc>
        <w:tc>
          <w:tcPr>
            <w:tcW w:type="dxa" w:w="1440"/>
            <w:vAlign w:val="top"/>
          </w:tcPr>
          <w:p>
            <w:pPr>
              <w:spacing w:after="0" w:line="240" w:lineRule="auto"/>
            </w:pPr>
            <w:r>
              <w:rPr>
                <w:rFonts w:ascii="Times New Roman" w:hAnsi="Times New Roman" w:eastAsia="Times New Roman"/>
                <w:sz w:val="15"/>
              </w:rPr>
              <w:t>Figure 5; Table S7</w:t>
            </w:r>
          </w:p>
        </w:tc>
      </w:tr>
      <w:tr>
        <w:tc>
          <w:tcPr>
            <w:tcW w:type="dxa" w:w="1584"/>
            <w:shd w:fill="EAF3F5"/>
            <w:vAlign w:val="top"/>
          </w:tcPr>
          <w:p>
            <w:pPr>
              <w:spacing w:after="0" w:line="240" w:lineRule="auto"/>
            </w:pPr>
            <w:r>
              <w:rPr>
                <w:rFonts w:ascii="Times New Roman" w:hAnsi="Times New Roman" w:eastAsia="Times New Roman"/>
                <w:sz w:val="15"/>
              </w:rPr>
              <w:t>Broad-space gate</w:t>
            </w:r>
          </w:p>
        </w:tc>
        <w:tc>
          <w:tcPr>
            <w:tcW w:type="dxa" w:w="1944"/>
            <w:shd w:fill="EAF3F5"/>
            <w:vAlign w:val="top"/>
          </w:tcPr>
          <w:p>
            <w:pPr>
              <w:spacing w:after="0" w:line="240" w:lineRule="auto"/>
            </w:pPr>
            <w:r>
              <w:rPr>
                <w:rFonts w:ascii="Times New Roman" w:hAnsi="Times New Roman" w:eastAsia="Times New Roman"/>
                <w:sz w:val="15"/>
              </w:rPr>
              <w:t>26 within-taxon and ten among-taxon rows</w:t>
            </w:r>
          </w:p>
        </w:tc>
        <w:tc>
          <w:tcPr>
            <w:tcW w:type="dxa" w:w="3960"/>
            <w:shd w:fill="EAF3F5"/>
            <w:vAlign w:val="top"/>
          </w:tcPr>
          <w:p>
            <w:pPr>
              <w:spacing w:after="0" w:line="240" w:lineRule="auto"/>
            </w:pPr>
            <w:r>
              <w:rPr>
                <w:rFonts w:ascii="Times New Roman" w:hAnsi="Times New Roman" w:eastAsia="Times New Roman"/>
                <w:sz w:val="15"/>
              </w:rPr>
              <w:t>Spatial-basis refit, permutation P and eight-nearest-neighbour residual Moran diagnostic. Gate: Five within and two among rows pass the declared broad-space screen</w:t>
            </w:r>
          </w:p>
        </w:tc>
        <w:tc>
          <w:tcPr>
            <w:tcW w:type="dxa" w:w="1440"/>
            <w:shd w:fill="EAF3F5"/>
            <w:vAlign w:val="top"/>
          </w:tcPr>
          <w:p>
            <w:pPr>
              <w:spacing w:after="0" w:line="240" w:lineRule="auto"/>
            </w:pPr>
            <w:r>
              <w:rPr>
                <w:rFonts w:ascii="Times New Roman" w:hAnsi="Times New Roman" w:eastAsia="Times New Roman"/>
                <w:sz w:val="15"/>
              </w:rPr>
              <w:t>Figure 5; Table S8</w:t>
            </w:r>
          </w:p>
        </w:tc>
      </w:tr>
      <w:tr>
        <w:tc>
          <w:tcPr>
            <w:tcW w:type="dxa" w:w="1584"/>
            <w:vAlign w:val="top"/>
          </w:tcPr>
          <w:p>
            <w:pPr>
              <w:spacing w:after="0" w:line="240" w:lineRule="auto"/>
            </w:pPr>
            <w:r>
              <w:rPr>
                <w:rFonts w:ascii="Times New Roman" w:hAnsi="Times New Roman" w:eastAsia="Times New Roman"/>
                <w:sz w:val="15"/>
              </w:rPr>
              <w:t>Historical-placement gate</w:t>
            </w:r>
          </w:p>
        </w:tc>
        <w:tc>
          <w:tcPr>
            <w:tcW w:type="dxa" w:w="1944"/>
            <w:vAlign w:val="top"/>
          </w:tcPr>
          <w:p>
            <w:pPr>
              <w:spacing w:after="0" w:line="240" w:lineRule="auto"/>
            </w:pPr>
            <w:r>
              <w:rPr>
                <w:rFonts w:ascii="Times New Roman" w:hAnsi="Times New Roman" w:eastAsia="Times New Roman"/>
                <w:sz w:val="15"/>
              </w:rPr>
              <w:t>Two deterministic and 50 randomized within-genus placement trees</w:t>
            </w:r>
          </w:p>
        </w:tc>
        <w:tc>
          <w:tcPr>
            <w:tcW w:type="dxa" w:w="3960"/>
            <w:vAlign w:val="top"/>
          </w:tcPr>
          <w:p>
            <w:pPr>
              <w:spacing w:after="0" w:line="240" w:lineRule="auto"/>
            </w:pPr>
            <w:r>
              <w:rPr>
                <w:rFonts w:ascii="Times New Roman" w:hAnsi="Times New Roman" w:eastAsia="Times New Roman"/>
                <w:sz w:val="15"/>
              </w:rPr>
              <w:t>Pagel-lambda PGLS sensitivity on 52 trees per row. Gate: Two adaptive-pattern candidates under current controls; not adaptation, mechanism or convergence proof</w:t>
            </w:r>
          </w:p>
        </w:tc>
        <w:tc>
          <w:tcPr>
            <w:tcW w:type="dxa" w:w="1440"/>
            <w:vAlign w:val="top"/>
          </w:tcPr>
          <w:p>
            <w:pPr>
              <w:spacing w:after="0" w:line="240" w:lineRule="auto"/>
            </w:pPr>
            <w:r>
              <w:rPr>
                <w:rFonts w:ascii="Times New Roman" w:hAnsi="Times New Roman" w:eastAsia="Times New Roman"/>
                <w:sz w:val="15"/>
              </w:rPr>
              <w:t>Figure 5; Table S8</w:t>
            </w:r>
          </w:p>
        </w:tc>
      </w:tr>
    </w:tbl>
    <w:p>
      <w:r>
        <w:br w:type="page"/>
      </w:r>
    </w:p>
    <w:p>
      <w:pPr>
        <w:keepNext/>
      </w:pPr>
      <w:r>
        <w:rPr>
          <w:rFonts w:ascii="Times New Roman" w:hAnsi="Times New Roman" w:eastAsia="Times New Roman"/>
          <w:b/>
          <w:sz w:val="20"/>
        </w:rPr>
        <w:t>Table 2. Frozen evidence chain for the two among-taxon candidate patterns in the global thistle-capitulum cohort. Beta denotes a standardized coefficient; BH denotes Benjamini-Hochberg; P values are descriptive outputs of the predeclared gates. Stability under these controls is not evidence of adaptation, convergence or mechanism.</w:t>
      </w:r>
    </w:p>
    <w:tbl>
      <w:tblPr>
        <w:tblStyle w:val="TableGrid"/>
        <w:tblW w:type="auto" w:w="0"/>
        <w:tblLayout w:type="fixed"/>
        <w:tblLook w:firstColumn="1" w:firstRow="1" w:lastColumn="0" w:lastRow="0" w:noHBand="0" w:noVBand="1" w:val="04A0"/>
      </w:tblPr>
      <w:tblGrid>
        <w:gridCol w:w="1806"/>
        <w:gridCol w:w="1806"/>
        <w:gridCol w:w="1806"/>
        <w:gridCol w:w="1806"/>
        <w:gridCol w:w="1806"/>
      </w:tblGrid>
      <w:tr>
        <w:trPr>
          <w:tblHeader w:val="true"/>
        </w:trPr>
        <w:tc>
          <w:tcPr>
            <w:tcW w:type="dxa" w:w="1872"/>
            <w:shd w:fill="0F5B66"/>
            <w:vAlign w:val="top"/>
          </w:tcPr>
          <w:p>
            <w:pPr>
              <w:spacing w:after="0" w:line="240" w:lineRule="auto"/>
            </w:pPr>
            <w:r>
              <w:rPr>
                <w:rFonts w:ascii="Times New Roman" w:hAnsi="Times New Roman" w:eastAsia="Times New Roman"/>
                <w:b/>
                <w:color w:val="FFFFFF"/>
                <w:sz w:val="14"/>
              </w:rPr>
              <w:t>candidate pattern</w:t>
            </w:r>
          </w:p>
        </w:tc>
        <w:tc>
          <w:tcPr>
            <w:tcW w:type="dxa" w:w="1512"/>
            <w:shd w:fill="0F5B66"/>
            <w:vAlign w:val="top"/>
          </w:tcPr>
          <w:p>
            <w:pPr>
              <w:spacing w:after="0" w:line="240" w:lineRule="auto"/>
            </w:pPr>
            <w:r>
              <w:rPr>
                <w:rFonts w:ascii="Times New Roman" w:hAnsi="Times New Roman" w:eastAsia="Times New Roman"/>
                <w:b/>
                <w:color w:val="FFFFFF"/>
                <w:sz w:val="14"/>
              </w:rPr>
              <w:t>global among taxon</w:t>
            </w:r>
          </w:p>
        </w:tc>
        <w:tc>
          <w:tcPr>
            <w:tcW w:type="dxa" w:w="1800"/>
            <w:shd w:fill="0F5B66"/>
            <w:vAlign w:val="top"/>
          </w:tcPr>
          <w:p>
            <w:pPr>
              <w:spacing w:after="0" w:line="240" w:lineRule="auto"/>
            </w:pPr>
            <w:r>
              <w:rPr>
                <w:rFonts w:ascii="Times New Roman" w:hAnsi="Times New Roman" w:eastAsia="Times New Roman"/>
                <w:b/>
                <w:color w:val="FFFFFF"/>
                <w:sz w:val="14"/>
              </w:rPr>
              <w:t>sampling composition</w:t>
            </w:r>
          </w:p>
        </w:tc>
        <w:tc>
          <w:tcPr>
            <w:tcW w:type="dxa" w:w="1944"/>
            <w:shd w:fill="0F5B66"/>
            <w:vAlign w:val="top"/>
          </w:tcPr>
          <w:p>
            <w:pPr>
              <w:spacing w:after="0" w:line="240" w:lineRule="auto"/>
            </w:pPr>
            <w:r>
              <w:rPr>
                <w:rFonts w:ascii="Times New Roman" w:hAnsi="Times New Roman" w:eastAsia="Times New Roman"/>
                <w:b/>
                <w:color w:val="FFFFFF"/>
                <w:sz w:val="14"/>
              </w:rPr>
              <w:t>broad space gate</w:t>
            </w:r>
          </w:p>
        </w:tc>
        <w:tc>
          <w:tcPr>
            <w:tcW w:type="dxa" w:w="1800"/>
            <w:shd w:fill="0F5B66"/>
            <w:vAlign w:val="top"/>
          </w:tcPr>
          <w:p>
            <w:pPr>
              <w:spacing w:after="0" w:line="240" w:lineRule="auto"/>
            </w:pPr>
            <w:r>
              <w:rPr>
                <w:rFonts w:ascii="Times New Roman" w:hAnsi="Times New Roman" w:eastAsia="Times New Roman"/>
                <w:b/>
                <w:color w:val="FFFFFF"/>
                <w:sz w:val="14"/>
              </w:rPr>
              <w:t>historical placement</w:t>
            </w:r>
          </w:p>
        </w:tc>
      </w:tr>
      <w:tr>
        <w:tc>
          <w:tcPr>
            <w:tcW w:type="dxa" w:w="1872"/>
            <w:shd w:fill="EAF3F5"/>
            <w:vAlign w:val="top"/>
          </w:tcPr>
          <w:p>
            <w:pPr>
              <w:spacing w:after="0" w:line="240" w:lineRule="auto"/>
            </w:pPr>
            <w:r>
              <w:rPr>
                <w:rFonts w:ascii="Times New Roman" w:hAnsi="Times New Roman" w:eastAsia="Times New Roman"/>
                <w:sz w:val="14"/>
              </w:rPr>
              <w:t>Lower camera-recorded corolla chroma with higher shortwave radiation</w:t>
            </w:r>
          </w:p>
        </w:tc>
        <w:tc>
          <w:tcPr>
            <w:tcW w:type="dxa" w:w="1512"/>
            <w:shd w:fill="EAF3F5"/>
            <w:vAlign w:val="top"/>
          </w:tcPr>
          <w:p>
            <w:pPr>
              <w:spacing w:after="0" w:line="240" w:lineRule="auto"/>
            </w:pPr>
            <w:r>
              <w:rPr>
                <w:rFonts w:ascii="Times New Roman" w:hAnsi="Times New Roman" w:eastAsia="Times New Roman"/>
                <w:sz w:val="14"/>
              </w:rPr>
              <w:t>n = 143; beta = -0.345; global BH q = 0.006</w:t>
            </w:r>
          </w:p>
        </w:tc>
        <w:tc>
          <w:tcPr>
            <w:tcW w:type="dxa" w:w="1800"/>
            <w:shd w:fill="EAF3F5"/>
            <w:vAlign w:val="top"/>
          </w:tcPr>
          <w:p>
            <w:pPr>
              <w:spacing w:after="0" w:line="240" w:lineRule="auto"/>
            </w:pPr>
            <w:r>
              <w:rPr>
                <w:rFonts w:ascii="Times New Roman" w:hAnsi="Times New Roman" w:eastAsia="Times New Roman"/>
                <w:sz w:val="14"/>
              </w:rPr>
              <w:t>all declared directions stable; minimum effect-magnitude ratio = 0.615</w:t>
            </w:r>
          </w:p>
        </w:tc>
        <w:tc>
          <w:tcPr>
            <w:tcW w:type="dxa" w:w="1944"/>
            <w:shd w:fill="EAF3F5"/>
            <w:vAlign w:val="top"/>
          </w:tcPr>
          <w:p>
            <w:pPr>
              <w:spacing w:after="0" w:line="240" w:lineRule="auto"/>
            </w:pPr>
            <w:r>
              <w:rPr>
                <w:rFonts w:ascii="Times New Roman" w:hAnsi="Times New Roman" w:eastAsia="Times New Roman"/>
                <w:sz w:val="14"/>
              </w:rPr>
              <w:t>beta = -0.712; permutation P = 0.001; residual Moran P = 0.217</w:t>
            </w:r>
          </w:p>
        </w:tc>
        <w:tc>
          <w:tcPr>
            <w:tcW w:type="dxa" w:w="1800"/>
            <w:shd w:fill="EAF3F5"/>
            <w:vAlign w:val="top"/>
          </w:tcPr>
          <w:p>
            <w:pPr>
              <w:spacing w:after="0" w:line="240" w:lineRule="auto"/>
            </w:pPr>
            <w:r>
              <w:rPr>
                <w:rFonts w:ascii="Times New Roman" w:hAnsi="Times New Roman" w:eastAsia="Times New Roman"/>
                <w:sz w:val="14"/>
              </w:rPr>
              <w:t>P &lt; 0.05 on 52/52 trees; P range 2.39e-05-2.39e-05; lambda range 0.000-0.000</w:t>
            </w:r>
          </w:p>
        </w:tc>
      </w:tr>
      <w:tr>
        <w:tc>
          <w:tcPr>
            <w:tcW w:type="dxa" w:w="1872"/>
            <w:vAlign w:val="top"/>
          </w:tcPr>
          <w:p>
            <w:pPr>
              <w:spacing w:after="0" w:line="240" w:lineRule="auto"/>
            </w:pPr>
            <w:r>
              <w:rPr>
                <w:rFonts w:ascii="Times New Roman" w:hAnsi="Times New Roman" w:eastAsia="Times New Roman"/>
                <w:sz w:val="14"/>
              </w:rPr>
              <w:t>Larger image-referenced orientation angle with higher annual precipitation</w:t>
            </w:r>
          </w:p>
        </w:tc>
        <w:tc>
          <w:tcPr>
            <w:tcW w:type="dxa" w:w="1512"/>
            <w:vAlign w:val="top"/>
          </w:tcPr>
          <w:p>
            <w:pPr>
              <w:spacing w:after="0" w:line="240" w:lineRule="auto"/>
            </w:pPr>
            <w:r>
              <w:rPr>
                <w:rFonts w:ascii="Times New Roman" w:hAnsi="Times New Roman" w:eastAsia="Times New Roman"/>
                <w:sz w:val="14"/>
              </w:rPr>
              <w:t>n = 142; beta = +0.304; global BH q = 0.021</w:t>
            </w:r>
          </w:p>
        </w:tc>
        <w:tc>
          <w:tcPr>
            <w:tcW w:type="dxa" w:w="1800"/>
            <w:vAlign w:val="top"/>
          </w:tcPr>
          <w:p>
            <w:pPr>
              <w:spacing w:after="0" w:line="240" w:lineRule="auto"/>
            </w:pPr>
            <w:r>
              <w:rPr>
                <w:rFonts w:ascii="Times New Roman" w:hAnsi="Times New Roman" w:eastAsia="Times New Roman"/>
                <w:sz w:val="14"/>
              </w:rPr>
              <w:t>all declared directions stable; minimum effect-magnitude ratio = 0.781</w:t>
            </w:r>
          </w:p>
        </w:tc>
        <w:tc>
          <w:tcPr>
            <w:tcW w:type="dxa" w:w="1944"/>
            <w:vAlign w:val="top"/>
          </w:tcPr>
          <w:p>
            <w:pPr>
              <w:spacing w:after="0" w:line="240" w:lineRule="auto"/>
            </w:pPr>
            <w:r>
              <w:rPr>
                <w:rFonts w:ascii="Times New Roman" w:hAnsi="Times New Roman" w:eastAsia="Times New Roman"/>
                <w:sz w:val="14"/>
              </w:rPr>
              <w:t>beta = +0.286; permutation P = 0.017; residual Moran P = 0.082</w:t>
            </w:r>
          </w:p>
        </w:tc>
        <w:tc>
          <w:tcPr>
            <w:tcW w:type="dxa" w:w="1800"/>
            <w:vAlign w:val="top"/>
          </w:tcPr>
          <w:p>
            <w:pPr>
              <w:spacing w:after="0" w:line="240" w:lineRule="auto"/>
            </w:pPr>
            <w:r>
              <w:rPr>
                <w:rFonts w:ascii="Times New Roman" w:hAnsi="Times New Roman" w:eastAsia="Times New Roman"/>
                <w:sz w:val="14"/>
              </w:rPr>
              <w:t>P &lt; 0.05 on 52/52 trees; P range 2.01e-04-2.31e-04; lambda range 0.000-0.054</w:t>
            </w:r>
          </w:p>
        </w:tc>
      </w:tr>
    </w:tbl>
    <w:p>
      <w:r>
        <w:br w:type="page"/>
      </w:r>
    </w:p>
    <w:p>
      <w:pPr>
        <w:pStyle w:val="Heading1"/>
      </w:pPr>
      <w:r>
        <w:t>Figures</w:t>
      </w:r>
    </w:p>
    <w:p>
      <w:pPr>
        <w:keepNext/>
        <w:jc w:val="center"/>
      </w:pPr>
      <w:r>
        <w:drawing>
          <wp:inline xmlns:a="http://schemas.openxmlformats.org/drawingml/2006/main" xmlns:pic="http://schemas.openxmlformats.org/drawingml/2006/picture">
            <wp:extent cx="5760720" cy="5466972"/>
            <wp:docPr id="1" name="Picture 1" descr="Real thistle photographs, detector bounding boxes, tight and context crops, colour mask, outline geometry, orientation and representative continuous outputs, followed by the current 27 registered, 22 measured and five unexecuted contract." title="Real thistle photographs, detector bounding boxes, tight and context crops, colour mask, outline geometry, orientation and representative continuous outputs, followed by the current 27 registered, 22 measured and five unexecuted contract"/>
            <wp:cNvGraphicFramePr>
              <a:graphicFrameLocks noChangeAspect="1"/>
            </wp:cNvGraphicFramePr>
            <a:graphic>
              <a:graphicData uri="http://schemas.openxmlformats.org/drawingml/2006/picture">
                <pic:pic>
                  <pic:nvPicPr>
                    <pic:cNvPr id="0" name="Figure_1_v2_measurement_pipeline.png"/>
                    <pic:cNvPicPr/>
                  </pic:nvPicPr>
                  <pic:blipFill>
                    <a:blip r:embed="rId9"/>
                    <a:stretch>
                      <a:fillRect/>
                    </a:stretch>
                  </pic:blipFill>
                  <pic:spPr>
                    <a:xfrm>
                      <a:off x="0" y="0"/>
                      <a:ext cx="5760720" cy="5466972"/>
                    </a:xfrm>
                    <a:prstGeom prst="rect"/>
                  </pic:spPr>
                </pic:pic>
              </a:graphicData>
            </a:graphic>
          </wp:inline>
        </w:drawing>
      </w:r>
    </w:p>
    <w:p>
      <w:pPr>
        <w:keepLines/>
        <w:jc w:val="left"/>
      </w:pPr>
      <w:r>
        <w:rPr>
          <w:rFonts w:ascii="Times New Roman" w:hAnsi="Times New Roman" w:eastAsia="Times New Roman"/>
          <w:b/>
          <w:sz w:val="20"/>
        </w:rPr>
        <w:t>Figure 1. From public photographs to deterministic continuous measurements in the global Carduus-Cirsium thistle-capitulum study. Three open-licensed photographs and their detector/crop examples are presentation/source provenance only; all numerical result statements are current v2.</w:t>
      </w:r>
    </w:p>
    <w:p>
      <w:pPr>
        <w:keepNext/>
        <w:jc w:val="center"/>
      </w:pPr>
      <w:r>
        <w:drawing>
          <wp:inline xmlns:a="http://schemas.openxmlformats.org/drawingml/2006/main" xmlns:pic="http://schemas.openxmlformats.org/drawingml/2006/picture">
            <wp:extent cx="5760720" cy="7188012"/>
            <wp:docPr id="2" name="Picture 2" descr="Mollweide equal-area world map of disclosure-safe observation density with an equatorial scale, locked filtering flow to 46,276 observations and 259 taxa, and the realized BIO1-BIO12 domain." title="Mollweide equal-area world map of disclosure-safe observation density with an equatorial scale, locked filtering flow to 46,276 observations and 259 taxa, and the realized BIO1-BIO12 domain"/>
            <wp:cNvGraphicFramePr>
              <a:graphicFrameLocks noChangeAspect="1"/>
            </wp:cNvGraphicFramePr>
            <a:graphic>
              <a:graphicData uri="http://schemas.openxmlformats.org/drawingml/2006/picture">
                <pic:pic>
                  <pic:nvPicPr>
                    <pic:cNvPr id="0" name="Figure_2_v2_geographic_sampling_domain.png"/>
                    <pic:cNvPicPr/>
                  </pic:nvPicPr>
                  <pic:blipFill>
                    <a:blip r:embed="rId10"/>
                    <a:stretch>
                      <a:fillRect/>
                    </a:stretch>
                  </pic:blipFill>
                  <pic:spPr>
                    <a:xfrm>
                      <a:off x="0" y="0"/>
                      <a:ext cx="5760720" cy="7188012"/>
                    </a:xfrm>
                    <a:prstGeom prst="rect"/>
                  </pic:spPr>
                </pic:pic>
              </a:graphicData>
            </a:graphic>
          </wp:inline>
        </w:drawing>
      </w:r>
    </w:p>
    <w:p>
      <w:pPr>
        <w:keepLines/>
        <w:jc w:val="left"/>
      </w:pPr>
      <w:r>
        <w:rPr>
          <w:rFonts w:ascii="Times New Roman" w:hAnsi="Times New Roman" w:eastAsia="Times New Roman"/>
          <w:b/>
          <w:sz w:val="20"/>
        </w:rPr>
        <w:t>Figure 2. Realized global sampling domain of the frozen public-image cohort of thistle capitula. (a) Disclosure-safe observation density in a Mollweide equal-area projection with a 2,000-km equatorial scale, (b) locked filtering flow to 46,276 observations and 259 source-assigned taxa, and (c) the realized annual-temperature (BIO1) and annual-precipitation (BIO12) domain. The panels do not establish representativeness.</w:t>
      </w:r>
    </w:p>
    <w:p>
      <w:pPr>
        <w:keepNext/>
        <w:jc w:val="center"/>
      </w:pPr>
      <w:r>
        <w:drawing>
          <wp:inline xmlns:a="http://schemas.openxmlformats.org/drawingml/2006/main" xmlns:pic="http://schemas.openxmlformats.org/drawingml/2006/picture">
            <wp:extent cx="5760720" cy="4868688"/>
            <wp:docPr id="3" name="Picture 3" descr="Horizontal bars compare raw and equal-replication variation below taxon means across 22 measured endpoints; the partition is not genetic variance." title="Horizontal bars compare raw and equal-replication variation below taxon means across 22 measured endpoints; the partition is not genetic variance"/>
            <wp:cNvGraphicFramePr>
              <a:graphicFrameLocks noChangeAspect="1"/>
            </wp:cNvGraphicFramePr>
            <a:graphic>
              <a:graphicData uri="http://schemas.openxmlformats.org/drawingml/2006/picture">
                <pic:pic>
                  <pic:nvPicPr>
                    <pic:cNvPr id="0" name="Figure_3_v2_taxon_mean_information_loss.png"/>
                    <pic:cNvPicPr/>
                  </pic:nvPicPr>
                  <pic:blipFill>
                    <a:blip r:embed="rId11"/>
                    <a:stretch>
                      <a:fillRect/>
                    </a:stretch>
                  </pic:blipFill>
                  <pic:spPr>
                    <a:xfrm>
                      <a:off x="0" y="0"/>
                      <a:ext cx="5760720" cy="4868688"/>
                    </a:xfrm>
                    <a:prstGeom prst="rect"/>
                  </pic:spPr>
                </pic:pic>
              </a:graphicData>
            </a:graphic>
          </wp:inline>
        </w:drawing>
      </w:r>
    </w:p>
    <w:p>
      <w:pPr>
        <w:keepLines/>
        <w:jc w:val="left"/>
      </w:pPr>
      <w:r>
        <w:rPr>
          <w:rFonts w:ascii="Times New Roman" w:hAnsi="Times New Roman" w:eastAsia="Times New Roman"/>
          <w:b/>
          <w:sz w:val="20"/>
        </w:rPr>
        <w:t>Figure 3. Visible image-phenotype variation compressed by source-assigned taxon means across the global public-image cohort of thistle capitula. Horizontal bars compare the raw observed sample with deterministic equal-replication resamples across 22 measured endpoints; the partition is not genetic variance.</w:t>
      </w:r>
    </w:p>
    <w:p>
      <w:pPr>
        <w:keepNext/>
        <w:jc w:val="center"/>
      </w:pPr>
      <w:r>
        <w:drawing>
          <wp:inline xmlns:a="http://schemas.openxmlformats.org/drawingml/2006/main" xmlns:pic="http://schemas.openxmlformats.org/drawingml/2006/picture">
            <wp:extent cx="5760720" cy="5561889"/>
            <wp:docPr id="4" name="Picture 4" descr="Complete heat map of 234 both-scale, within-only, among-only, neither and not-comparable rows; hue is a joint circular unit and unexecuted rows remain not comparable." title="Complete heat map of 234 both-scale, within-only, among-only, neither and not-comparable rows; hue is a joint circular unit and unexecuted rows remain not comparable"/>
            <wp:cNvGraphicFramePr>
              <a:graphicFrameLocks noChangeAspect="1"/>
            </wp:cNvGraphicFramePr>
            <a:graphic>
              <a:graphicData uri="http://schemas.openxmlformats.org/drawingml/2006/picture">
                <pic:pic>
                  <pic:nvPicPr>
                    <pic:cNvPr id="0" name="Figure_4_v2_within_among_scale_atlas.png"/>
                    <pic:cNvPicPr/>
                  </pic:nvPicPr>
                  <pic:blipFill>
                    <a:blip r:embed="rId12"/>
                    <a:stretch>
                      <a:fillRect/>
                    </a:stretch>
                  </pic:blipFill>
                  <pic:spPr>
                    <a:xfrm>
                      <a:off x="0" y="0"/>
                      <a:ext cx="5760720" cy="5561889"/>
                    </a:xfrm>
                    <a:prstGeom prst="rect"/>
                  </pic:spPr>
                </pic:pic>
              </a:graphicData>
            </a:graphic>
          </wp:inline>
        </w:drawing>
      </w:r>
    </w:p>
    <w:p>
      <w:pPr>
        <w:keepLines/>
        <w:jc w:val="left"/>
      </w:pPr>
      <w:r>
        <w:rPr>
          <w:rFonts w:ascii="Times New Roman" w:hAnsi="Times New Roman" w:eastAsia="Times New Roman"/>
          <w:b/>
          <w:sz w:val="20"/>
        </w:rPr>
        <w:t>Figure 4. Endpoint-specific environmental alignment within and among source-assigned thistle taxa across the global public-image cohort. The complete 234-row heat map distinguishes both-scale, within-only, among-only, neither and not-comparable rows; joint hue is one circular inferential unit.</w:t>
      </w:r>
    </w:p>
    <w:p>
      <w:pPr>
        <w:keepNext/>
        <w:jc w:val="center"/>
      </w:pPr>
      <w:r>
        <w:drawing>
          <wp:inline xmlns:a="http://schemas.openxmlformats.org/drawingml/2006/main" xmlns:pic="http://schemas.openxmlformats.org/drawingml/2006/picture">
            <wp:extent cx="5760720" cy="5795343"/>
            <wp:docPr id="5" name="Picture 5" descr="Flow from 234 canonical rows through among-taxon multiplicity, sampling annotation, broad-space and 52-tree placement gates, plus the evidence retained for chroma-radiation and orientation-precipitation." title="Flow from 234 canonical rows through among-taxon multiplicity, sampling annotation, broad-space and 52-tree placement gates, plus the evidence retained for chroma-radiation and orientation-precipitation"/>
            <wp:cNvGraphicFramePr>
              <a:graphicFrameLocks noChangeAspect="1"/>
            </wp:cNvGraphicFramePr>
            <a:graphic>
              <a:graphicData uri="http://schemas.openxmlformats.org/drawingml/2006/picture">
                <pic:pic>
                  <pic:nvPicPr>
                    <pic:cNvPr id="0" name="Figure_5_v2_candidate_robustness.png"/>
                    <pic:cNvPicPr/>
                  </pic:nvPicPr>
                  <pic:blipFill>
                    <a:blip r:embed="rId13"/>
                    <a:stretch>
                      <a:fillRect/>
                    </a:stretch>
                  </pic:blipFill>
                  <pic:spPr>
                    <a:xfrm>
                      <a:off x="0" y="0"/>
                      <a:ext cx="5760720" cy="5795343"/>
                    </a:xfrm>
                    <a:prstGeom prst="rect"/>
                  </pic:spPr>
                </pic:pic>
              </a:graphicData>
            </a:graphic>
          </wp:inline>
        </w:drawing>
      </w:r>
    </w:p>
    <w:p>
      <w:pPr>
        <w:keepLines/>
        <w:jc w:val="left"/>
      </w:pPr>
      <w:r>
        <w:rPr>
          <w:rFonts w:ascii="Times New Roman" w:hAnsi="Times New Roman" w:eastAsia="Times New Roman"/>
          <w:b/>
          <w:sz w:val="20"/>
        </w:rPr>
        <w:t>Figure 5. Sequential attrition and robustness of the two final candidate patterns in the global thistle-capitulum cohort. (a) The 234-row grid is reduced through among-taxon multiplicity, sampling annotation, broad-space and 52-tree placement gates; (b-c) retain the coefficient and gate evidence for chroma-radiation and image-referenced orientation-precipitation. Stability is not evidence of adaptation, convergence or mechanism.</w:t>
      </w:r>
    </w:p>
    <w:sectPr w:rsidR="00FC693F" w:rsidRPr="0006063C" w:rsidSect="00034616">
      <w:footerReference w:type="default" r:id="rId14"/>
      <w:pgSz w:w="11909" w:h="16834"/>
      <w:pgMar w:top="1296" w:right="1440" w:bottom="1296" w:left="1440" w:header="720" w:footer="720"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multilevel"/>
    <w:lvl w:ilvl="0">
      <w:start w:val="1"/>
      <w:numFmt w:val="decimal"/>
      <w:lvlText w:val="%1"/>
      <w:suff w:val="space"/>
      <w:lvlJc w:val="left"/>
    </w:lvl>
    <w:lvl w:ilvl="1">
      <w:start w:val="1"/>
      <w:numFmt w:val="decimal"/>
      <w:lvlText w:val="%1.%2"/>
      <w:suff w:val="space"/>
      <w:lvlJc w:val="left"/>
    </w:lvl>
    <w:lvl w:ilvl="2">
      <w:start w:val="1"/>
      <w:numFmt w:val="decimal"/>
      <w:lvlText w:val="%1.%2.%3"/>
      <w:suff w:val="space"/>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pPr>
    <w:rPr>
      <w:rFonts w:ascii="Times New Roman" w:hAnsi="Times New Roman" w:eastAsia="Times New Roman"/>
      <w:b w:val="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Blinded submission candidate; scientific HOLD retained.</dc:description>
  <cp:lastModifiedBy/>
  <cp:revision>1</cp:revision>
  <dcterms:created xsi:type="dcterms:W3CDTF">2013-12-23T23:15:00Z</dcterms:created>
  <dcterms:modified xsi:type="dcterms:W3CDTF">2013-12-23T23:15:00Z</dcterms:modified>
  <cp:category/>
</cp:coreProperties>
</file>