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Supporting Information</w:t>
      </w:r>
    </w:p>
    <w:p>
      <w:pPr>
        <w:jc w:val="center"/>
      </w:pPr>
      <w:r>
        <w:rPr>
          <w:rFonts w:ascii="Times New Roman" w:hAnsi="Times New Roman" w:eastAsia="Times New Roman"/>
          <w:i/>
          <w:sz w:val="20"/>
        </w:rPr>
        <w:t>Global continuous phenomics reveals trait- and scale-specific environmental geography of thistle capitula</w:t>
      </w:r>
    </w:p>
    <w:p>
      <w:pPr>
        <w:pStyle w:val="Heading1"/>
      </w:pPr>
      <w:r>
        <w:t>Supporting Information</w:t>
      </w:r>
    </w:p>
    <w:p>
      <w:r>
        <w:rPr>
          <w:rFonts w:ascii="Times New Roman" w:hAnsi="Times New Roman" w:eastAsia="Times New Roman"/>
          <w:sz w:val="23"/>
        </w:rPr>
        <w:t>The main manuscript contains only the inferential narrative needed to evaluate the general conclusions: continuous-trait recovery, information loss under taxon means, within-versus-among scale structure and the two final candidate patterns. This Supporting Information contains the exhaustive measurement inventory, cohort definitions, multiplicity families, sampling diagnostics, spatial diagnostics and historical-placement sensitivity needed to audit those conclusions. Main-text figures are not repeated here.</w:t>
      </w:r>
    </w:p>
    <w:p>
      <w:pPr>
        <w:pStyle w:val="Heading2"/>
      </w:pPr>
      <w:r>
        <w:t>Appendix S1. Full-27 continuous-trait and full-environment analysis</w:t>
      </w:r>
    </w:p>
    <w:p>
      <w:pPr>
        <w:pStyle w:val="Heading3"/>
      </w:pPr>
      <w:r>
        <w:t>S1.1 Frozen cohort and endpoint status</w:t>
      </w:r>
    </w:p>
    <w:p>
      <w:r>
        <w:rPr>
          <w:rFonts w:ascii="Times New Roman" w:hAnsi="Times New Roman" w:eastAsia="Times New Roman"/>
          <w:sz w:val="23"/>
        </w:rPr>
        <w:t xml:space="preserve">The phenotype-blind spatial cohort retained one observation per source-assigned taxon by 0.25-degree cell after a positional-accuracy threshold of 10 km. It contained 46,276 observations from 259 taxa. The registered universe contained 27 endpoints: 22 were measured and five remained explicit unexecuted rows. Hue sine and cosine formed one joint circular inferential unit. Endpoint status, module, analysis tier, validation boundary, measurement counts and taxonomic coverage are given in </w:t>
      </w:r>
      <w:r>
        <w:rPr>
          <w:rFonts w:ascii="Consolas" w:hAnsi="Consolas" w:eastAsia="Consolas"/>
          <w:sz w:val="19"/>
        </w:rPr>
        <w:t>v2_full27_endpoint_inventory.csv</w:t>
      </w:r>
      <w:r>
        <w:rPr>
          <w:rFonts w:ascii="Times New Roman" w:hAnsi="Times New Roman" w:eastAsia="Times New Roman"/>
          <w:sz w:val="23"/>
        </w:rPr>
        <w:t>.</w:t>
      </w:r>
    </w:p>
    <w:p>
      <w:r>
        <w:rPr>
          <w:rFonts w:ascii="Times New Roman" w:hAnsi="Times New Roman" w:eastAsia="Times New Roman"/>
          <w:sz w:val="23"/>
        </w:rPr>
        <w:t>The five unexecuted endpoints remain in the registry rather than disappearing from the analysis universe. Missing or unassessable measurements were never encoded as biological absence or zero. Candidate involucral, armature-like and surface-image endpoints remain image phenotypes pending botanical calibration and are not renamed as spine length, stiffness, hair density, glands or secretion.</w:t>
      </w:r>
    </w:p>
    <w:p>
      <w:pPr>
        <w:pStyle w:val="Heading3"/>
      </w:pPr>
      <w:r>
        <w:t>S1.2 Geographic support and taxon-mean information loss</w:t>
      </w:r>
    </w:p>
    <w:p>
      <w:r>
        <w:rPr>
          <w:rFonts w:ascii="Times New Roman" w:hAnsi="Times New Roman" w:eastAsia="Times New Roman"/>
          <w:sz w:val="23"/>
        </w:rPr>
        <w:t xml:space="preserve">For each measured endpoint, </w:t>
      </w:r>
      <w:r>
        <w:rPr>
          <w:rFonts w:ascii="Consolas" w:hAnsi="Consolas" w:eastAsia="Consolas"/>
          <w:sz w:val="19"/>
        </w:rPr>
        <w:t>v2_full27_trait_geography.csv</w:t>
      </w:r>
      <w:r>
        <w:rPr>
          <w:rFonts w:ascii="Times New Roman" w:hAnsi="Times New Roman" w:eastAsia="Times New Roman"/>
          <w:sz w:val="23"/>
        </w:rPr>
        <w:t xml:space="preserve"> records latitude and longitude limits, observation counts, taxon counts and occupancy in 5-degree geographic cells. </w:t>
      </w:r>
      <w:r>
        <w:rPr>
          <w:rFonts w:ascii="Consolas" w:hAnsi="Consolas" w:eastAsia="Consolas"/>
          <w:sz w:val="19"/>
        </w:rPr>
        <w:t>v2_full27_variance_decomposition.csv</w:t>
      </w:r>
      <w:r>
        <w:rPr>
          <w:rFonts w:ascii="Times New Roman" w:hAnsi="Times New Roman" w:eastAsia="Times New Roman"/>
          <w:sz w:val="23"/>
        </w:rPr>
        <w:t xml:space="preserve"> reports the observation-level fraction of sums of squares below source-assigned taxon means and 500 equal-replication resamples with two observations per eligible taxon. The equal-replication distribution, not only its median, is retained in the frozen output. These partitions describe visible image phenotypes rather than genetic variance, heritability or plasticity.</w:t>
      </w:r>
    </w:p>
    <w:p>
      <w:r>
        <w:rPr>
          <w:rFonts w:ascii="Times New Roman" w:hAnsi="Times New Roman" w:eastAsia="Times New Roman"/>
          <w:sz w:val="23"/>
        </w:rPr>
        <w:t>Figure S1 shows endpoint-specific measurement support rather than repeating the main information-loss figure. It is intended to expose which modules are carried by tens of thousands of photographs and which candidate image geometries are supported by substantially smaller subsets.</w:t>
      </w:r>
    </w:p>
    <w:p>
      <w:pPr>
        <w:pStyle w:val="Heading3"/>
      </w:pPr>
      <w:r>
        <w:t>S1.3 Environmental predictors and complete model families</w:t>
      </w:r>
    </w:p>
    <w:p>
      <w:r>
        <w:rPr>
          <w:rFonts w:ascii="Times New Roman" w:hAnsi="Times New Roman" w:eastAsia="Times New Roman"/>
          <w:sz w:val="23"/>
        </w:rPr>
        <w:t>Nine predictors were frozen in six blocks: thermal (BIO1, BIO4), hydric (BIO12, BIO15), radiative/atmospheric (shortwave radiation, VPD), mechanical (wind), growing-season water input (GSP) and resource/productivity (potential NPP). Eight had complete coverage and wind had 99.989% coverage, exceeding the 98% gate. GSP was a climatic layer rather than species-specific flowering-season rain; NPP was modelled potential productivity rather than measured resources.</w:t>
      </w:r>
    </w:p>
    <w:p>
      <w:r>
        <w:rPr>
          <w:rFonts w:ascii="Times New Roman" w:hAnsi="Times New Roman" w:eastAsia="Times New Roman"/>
          <w:sz w:val="23"/>
        </w:rPr>
        <w:t>Within-taxon models used taxon-demeaned standardized traits and predictors with taxon-clustered uncertainty. Among-taxon models used standardized taxon trait and environment medians with 9,999 taxon-label permutations. The primary among-taxon scope required five observations per taxon; minimum two formed a separately corrected sensitivity. Benjamini-Hochberg correction was applied once across all successful inferential-unit by predictor rows within each scope.</w:t>
      </w:r>
    </w:p>
    <w:p>
      <w:r>
        <w:rPr>
          <w:rFonts w:ascii="Times New Roman" w:hAnsi="Times New Roman" w:eastAsia="Times New Roman"/>
          <w:sz w:val="23"/>
        </w:rPr>
        <w:t xml:space="preserve">Complete output is retained rather than filtering to supported rows. </w:t>
      </w:r>
      <w:r>
        <w:rPr>
          <w:rFonts w:ascii="Consolas" w:hAnsi="Consolas" w:eastAsia="Consolas"/>
          <w:sz w:val="19"/>
        </w:rPr>
        <w:t>v2_full27_environment_within.csv</w:t>
      </w:r>
      <w:r>
        <w:rPr>
          <w:rFonts w:ascii="Times New Roman" w:hAnsi="Times New Roman" w:eastAsia="Times New Roman"/>
          <w:sz w:val="23"/>
        </w:rPr>
        <w:t xml:space="preserve">, </w:t>
      </w:r>
      <w:r>
        <w:rPr>
          <w:rFonts w:ascii="Consolas" w:hAnsi="Consolas" w:eastAsia="Consolas"/>
          <w:sz w:val="19"/>
        </w:rPr>
        <w:t>v2_full27_environment_among.csv</w:t>
      </w:r>
      <w:r>
        <w:rPr>
          <w:rFonts w:ascii="Times New Roman" w:hAnsi="Times New Roman" w:eastAsia="Times New Roman"/>
          <w:sz w:val="23"/>
        </w:rPr>
        <w:t xml:space="preserve"> and </w:t>
      </w:r>
      <w:r>
        <w:rPr>
          <w:rFonts w:ascii="Consolas" w:hAnsi="Consolas" w:eastAsia="Consolas"/>
          <w:sz w:val="19"/>
        </w:rPr>
        <w:t>v2_full27_environment_cross_scale.csv</w:t>
      </w:r>
      <w:r>
        <w:rPr>
          <w:rFonts w:ascii="Times New Roman" w:hAnsi="Times New Roman" w:eastAsia="Times New Roman"/>
          <w:sz w:val="23"/>
        </w:rPr>
        <w:t xml:space="preserve"> therefore include supported, unsupported, unexecuted and non-comparable combinations. This complete grid is the audit surface underlying the condensed cross-scale figure in the main manuscript.</w:t>
      </w:r>
    </w:p>
    <w:p>
      <w:pPr>
        <w:pStyle w:val="Heading3"/>
      </w:pPr>
      <w:r>
        <w:t>S1.4 Sampling-composition sensitivity</w:t>
      </w:r>
    </w:p>
    <w:p>
      <w:r>
        <w:rPr>
          <w:rFonts w:ascii="Times New Roman" w:hAnsi="Times New Roman" w:eastAsia="Times New Roman"/>
          <w:sz w:val="23"/>
        </w:rPr>
        <w:t>All 26 within-taxon and ten among-taxon globally supported rows entered a retrospective direction-only sampling audit. Perturbations were declared before inspecting the sensitivity outcomes: equal total weight per taxon for within-taxon rows, omission of each top-ten taxon separately, joint omission of the two most observed taxa, omission of each of six broad regions, and an explicitly native-only restriction. All 674 scenarios were evaluable.</w:t>
      </w:r>
    </w:p>
    <w:p>
      <w:r>
        <w:rPr>
          <w:rFonts w:ascii="Times New Roman" w:hAnsi="Times New Roman" w:eastAsia="Times New Roman"/>
          <w:sz w:val="23"/>
        </w:rPr>
        <w:t xml:space="preserve">Sixteen of 26 selected within-taxon pairs and all ten selected among-taxon pairs retained direction in every applicable scenario. The audit did not calculate post-selection P values and does not convert the public-image sample into a probability sample. </w:t>
      </w:r>
      <w:r>
        <w:rPr>
          <w:rFonts w:ascii="Consolas" w:hAnsi="Consolas" w:eastAsia="Consolas"/>
          <w:sz w:val="19"/>
        </w:rPr>
        <w:t>sampling/v2_full27_sampling_composition_scenarios.csv</w:t>
      </w:r>
      <w:r>
        <w:rPr>
          <w:rFonts w:ascii="Times New Roman" w:hAnsi="Times New Roman" w:eastAsia="Times New Roman"/>
          <w:sz w:val="23"/>
        </w:rPr>
        <w:t xml:space="preserve"> preserves every scenario-level coefficient and </w:t>
      </w:r>
      <w:r>
        <w:rPr>
          <w:rFonts w:ascii="Consolas" w:hAnsi="Consolas" w:eastAsia="Consolas"/>
          <w:sz w:val="19"/>
        </w:rPr>
        <w:t>sampling/v2_full27_sampling_composition_summary.csv</w:t>
      </w:r>
      <w:r>
        <w:rPr>
          <w:rFonts w:ascii="Times New Roman" w:hAnsi="Times New Roman" w:eastAsia="Times New Roman"/>
          <w:sz w:val="23"/>
        </w:rPr>
        <w:t xml:space="preserve"> records the minimum retained effect-magnitude ratios and direction-stability classifications.</w:t>
      </w:r>
    </w:p>
    <w:p>
      <w:r>
        <w:rPr>
          <w:rFonts w:ascii="Times New Roman" w:hAnsi="Times New Roman" w:eastAsia="Times New Roman"/>
          <w:sz w:val="23"/>
        </w:rPr>
        <w:t>Figure S2 shows every selected row, separating stable and direction-unstable rows and exposing the weakest retained effect magnitude across the declared perturbations. This is intentionally more diagnostic than the two-candidate summary in the main manuscript.</w:t>
      </w:r>
    </w:p>
    <w:p>
      <w:pPr>
        <w:pStyle w:val="Heading3"/>
      </w:pPr>
      <w:r>
        <w:t>S1.5 Broad-space sensitivity and residual spatial structure</w:t>
      </w:r>
    </w:p>
    <w:p>
      <w:r>
        <w:rPr>
          <w:rFonts w:ascii="Times New Roman" w:hAnsi="Times New Roman" w:eastAsia="Times New Roman"/>
          <w:sz w:val="23"/>
        </w:rPr>
        <w:t>Every globally FDR-supported row was refitted with a second-order spherical-coordinate basis. Passing required a spatial permutation P below 0.05, sign preservation for a linear endpoint and residual eight-nearest-neighbour Moran P of at least 0.05. Five within-taxon and two among-taxon rows passed all three requirements. Joint hue rows failed the full gate because residual spatial autocorrelation remained detectable even when the spatial-basis association itself was non-zero.</w:t>
      </w:r>
    </w:p>
    <w:p>
      <w:r>
        <w:rPr>
          <w:rFonts w:ascii="Times New Roman" w:hAnsi="Times New Roman" w:eastAsia="Times New Roman"/>
          <w:sz w:val="23"/>
        </w:rPr>
        <w:t xml:space="preserve">Full results are in </w:t>
      </w:r>
      <w:r>
        <w:rPr>
          <w:rFonts w:ascii="Consolas" w:hAnsi="Consolas" w:eastAsia="Consolas"/>
          <w:sz w:val="19"/>
        </w:rPr>
        <w:t>spatial/v2_full27_spatial_within.csv</w:t>
      </w:r>
      <w:r>
        <w:rPr>
          <w:rFonts w:ascii="Times New Roman" w:hAnsi="Times New Roman" w:eastAsia="Times New Roman"/>
          <w:sz w:val="23"/>
        </w:rPr>
        <w:t xml:space="preserve"> and </w:t>
      </w:r>
      <w:r>
        <w:rPr>
          <w:rFonts w:ascii="Consolas" w:hAnsi="Consolas" w:eastAsia="Consolas"/>
          <w:sz w:val="19"/>
        </w:rPr>
        <w:t>spatial/v2_full27_spatial_among.csv</w:t>
      </w:r>
      <w:r>
        <w:rPr>
          <w:rFonts w:ascii="Times New Roman" w:hAnsi="Times New Roman" w:eastAsia="Times New Roman"/>
          <w:sz w:val="23"/>
        </w:rPr>
        <w:t>. Figure S3 displays the complete broad-space diagnostic set, including rows that failed because the spatial effect weakened, reversed or retained residual autocorrelation. The main manuscript shows only the sequentially retained candidates.</w:t>
      </w:r>
    </w:p>
    <w:p>
      <w:pPr>
        <w:pStyle w:val="Heading3"/>
      </w:pPr>
      <w:r>
        <w:t>S1.6 Historical-placement sensitivity</w:t>
      </w:r>
    </w:p>
    <w:p>
      <w:r>
        <w:rPr>
          <w:rFonts w:ascii="Times New Roman" w:hAnsi="Times New Roman" w:eastAsia="Times New Roman"/>
          <w:sz w:val="23"/>
        </w:rPr>
        <w:t>The two spatially retained among-taxon rows were tested on 52 audited dated-backbone placement trees: two deterministic scenarios and 50 randomized within-genus placement trees. Both retained direction and P below 0.05 on every tree. Only 54 historical-atlas taxa were direct backbone tips; most were within-genus placements. The analysis is therefore a sensitivity to the tested placement uncertainty, not a resolved species-tree or network correction.</w:t>
      </w:r>
    </w:p>
    <w:p>
      <w:r>
        <w:rPr>
          <w:rFonts w:ascii="Times New Roman" w:hAnsi="Times New Roman" w:eastAsia="Times New Roman"/>
          <w:sz w:val="23"/>
        </w:rPr>
        <w:t xml:space="preserve">All tree-level coefficients, P values and Pagel-lambda estimates are retained in </w:t>
      </w:r>
      <w:r>
        <w:rPr>
          <w:rFonts w:ascii="Consolas" w:hAnsi="Consolas" w:eastAsia="Consolas"/>
          <w:sz w:val="19"/>
        </w:rPr>
        <w:t>historical/v2_full27_historical_placement_models.csv</w:t>
      </w:r>
      <w:r>
        <w:rPr>
          <w:rFonts w:ascii="Times New Roman" w:hAnsi="Times New Roman" w:eastAsia="Times New Roman"/>
          <w:sz w:val="23"/>
        </w:rPr>
        <w:t xml:space="preserve">; endpoint-level ranges are in </w:t>
      </w:r>
      <w:r>
        <w:rPr>
          <w:rFonts w:ascii="Consolas" w:hAnsi="Consolas" w:eastAsia="Consolas"/>
          <w:sz w:val="19"/>
        </w:rPr>
        <w:t>historical/v2_full27_historical_placement_summary.csv</w:t>
      </w:r>
      <w:r>
        <w:rPr>
          <w:rFonts w:ascii="Times New Roman" w:hAnsi="Times New Roman" w:eastAsia="Times New Roman"/>
          <w:sz w:val="23"/>
        </w:rPr>
        <w:t>. Figure S4 displays all 104 frozen tree-level rows and separates the two deterministic placements from 50 randomized within-genus placements per candidate. It is a diagnostic display of placement sensitivity, not additional inference.</w:t>
      </w:r>
    </w:p>
    <w:p>
      <w:pPr>
        <w:pStyle w:val="Heading3"/>
      </w:pPr>
      <w:r>
        <w:t>S1.7 Whole-capitulum secondary synthesis</w:t>
      </w:r>
    </w:p>
    <w:p>
      <w:r>
        <w:rPr>
          <w:rFonts w:ascii="Times New Roman" w:hAnsi="Times New Roman" w:eastAsia="Times New Roman"/>
          <w:sz w:val="23"/>
        </w:rPr>
        <w:t>The complete-18 secondary analysis was performed only after endpoint-level inference was frozen. It evaluates whether taxon morphospace and within/among association matrices show partial organization among registered measurement modules. It does not define the primary endpoint set, alter multiplicity families or replace endpoint-level inference. Full PCA scores/loadings, module tests and matrix summaries are retained in the frozen multilevel/process artifact and indexed in the submission bundle.</w:t>
      </w:r>
    </w:p>
    <w:p>
      <w:pPr>
        <w:pStyle w:val="Heading3"/>
      </w:pPr>
      <w:r>
        <w:t>S1.8 Interpretation limits and independent validation gates</w:t>
      </w:r>
    </w:p>
    <w:p>
      <w:r>
        <w:rPr>
          <w:rFonts w:ascii="Times New Roman" w:hAnsi="Times New Roman" w:eastAsia="Times New Roman"/>
          <w:sz w:val="23"/>
        </w:rPr>
        <w:t>The analysis is retrospective exploratory. Directional stability is not causal evidence. Visible CIELAB chroma is not anthocyanin concentration or UV reflectance; EXIF image vertical is not gravity; and image-derived involucral or surface variables are not botanical spine, hair, gland or secretion measurements. The results do not establish phenotypic plasticity, local adaptation, selection, fitness benefit, independent origin, adaptive radiation or convergence.</w:t>
      </w:r>
    </w:p>
    <w:p>
      <w:r>
        <w:rPr>
          <w:rFonts w:ascii="Times New Roman" w:hAnsi="Times New Roman" w:eastAsia="Times New Roman"/>
          <w:sz w:val="23"/>
        </w:rPr>
        <w:t>The submission remains on scientific HOLD for independent detector-box validation, independent primary-trait reference measurements, botanical calibration of candidate fine geometry, developmental-stage control, paired colour controls and repeat-photo remeasurement. These gates are external validation tasks, not invitations to add further post hoc environmental screens.</w:t>
      </w:r>
    </w:p>
    <w:p>
      <w:pPr>
        <w:pStyle w:val="Heading2"/>
      </w:pPr>
      <w:r>
        <w:t>Supplementary tables</w:t>
      </w:r>
    </w:p>
    <w:p>
      <w:r>
        <w:rPr>
          <w:rFonts w:ascii="Times New Roman" w:hAnsi="Times New Roman" w:eastAsia="Times New Roman"/>
          <w:sz w:val="23"/>
        </w:rPr>
        <w:t xml:space="preserve">The formatted workbook </w:t>
      </w:r>
      <w:r>
        <w:rPr>
          <w:rFonts w:ascii="Consolas" w:hAnsi="Consolas" w:eastAsia="Consolas"/>
          <w:sz w:val="19"/>
        </w:rPr>
        <w:t>Azami_Chapter1_v2_Supplementary_Tables.xlsx</w:t>
      </w:r>
      <w:r>
        <w:rPr>
          <w:rFonts w:ascii="Times New Roman" w:hAnsi="Times New Roman" w:eastAsia="Times New Roman"/>
          <w:sz w:val="23"/>
        </w:rPr>
        <w:t xml:space="preserve"> contains Main Tables 1–2 and Tables S1–S10. The CSV files used to build it are retained under </w:t>
      </w:r>
      <w:r>
        <w:rPr>
          <w:rFonts w:ascii="Consolas" w:hAnsi="Consolas" w:eastAsia="Consolas"/>
          <w:sz w:val="19"/>
        </w:rPr>
        <w:t>manuscript/tables/v2_submission/</w:t>
      </w:r>
      <w:r>
        <w:rPr>
          <w:rFonts w:ascii="Times New Roman" w:hAnsi="Times New Roman" w:eastAsia="Times New Roman"/>
          <w:sz w:val="23"/>
        </w:rPr>
        <w:t>; the workbook does not recalculate any statistic.</w:t>
      </w:r>
    </w:p>
    <w:p>
      <w:pPr>
        <w:pStyle w:val="Heading2"/>
      </w:pPr>
      <w:r>
        <w:t>Supplementary table captions</w:t>
      </w:r>
    </w:p>
    <w:p>
      <w:r>
        <w:rPr>
          <w:rFonts w:ascii="Times New Roman" w:hAnsi="Times New Roman" w:eastAsia="Times New Roman"/>
          <w:b/>
          <w:sz w:val="23"/>
        </w:rPr>
        <w:t>Table S1. Complete 27-endpoint contract.</w:t>
      </w:r>
      <w:r>
        <w:rPr>
          <w:rFonts w:ascii="Times New Roman" w:hAnsi="Times New Roman" w:eastAsia="Times New Roman"/>
          <w:sz w:val="23"/>
        </w:rPr>
        <w:t xml:space="preserve"> Registered measurement, validation and interpretation status for every endpoint, including five explicit unexecuted rows.</w:t>
      </w:r>
    </w:p>
    <w:p>
      <w:r>
        <w:rPr>
          <w:rFonts w:ascii="Times New Roman" w:hAnsi="Times New Roman" w:eastAsia="Times New Roman"/>
          <w:b/>
          <w:sz w:val="23"/>
        </w:rPr>
        <w:t>Table S2. Cohort and geographic filtering.</w:t>
      </w:r>
      <w:r>
        <w:rPr>
          <w:rFonts w:ascii="Times New Roman" w:hAnsi="Times New Roman" w:eastAsia="Times New Roman"/>
          <w:sz w:val="23"/>
        </w:rPr>
        <w:t xml:space="preserve"> Observation and source-assigned taxon counts from detector-positive records through the frozen environmental cohort.</w:t>
      </w:r>
    </w:p>
    <w:p>
      <w:r>
        <w:rPr>
          <w:rFonts w:ascii="Times New Roman" w:hAnsi="Times New Roman" w:eastAsia="Times New Roman"/>
          <w:b/>
          <w:sz w:val="23"/>
        </w:rPr>
        <w:t>Table S3. Complete variance decomposition.</w:t>
      </w:r>
      <w:r>
        <w:rPr>
          <w:rFonts w:ascii="Times New Roman" w:hAnsi="Times New Roman" w:eastAsia="Times New Roman"/>
          <w:sz w:val="23"/>
        </w:rPr>
        <w:t xml:space="preserve"> Raw and equal-replication fractions below source-assigned taxon means for all registered endpoints, with status and uncertainty columns.</w:t>
      </w:r>
    </w:p>
    <w:p>
      <w:r>
        <w:rPr>
          <w:rFonts w:ascii="Times New Roman" w:hAnsi="Times New Roman" w:eastAsia="Times New Roman"/>
          <w:b/>
          <w:sz w:val="23"/>
        </w:rPr>
        <w:t>Table S4. Complete within-taxon environment atlas.</w:t>
      </w:r>
      <w:r>
        <w:rPr>
          <w:rFonts w:ascii="Times New Roman" w:hAnsi="Times New Roman" w:eastAsia="Times New Roman"/>
          <w:sz w:val="23"/>
        </w:rPr>
        <w:t xml:space="preserve"> Every endpoint or joint-unit by predictor row, including unsupported, unexecuted and insufficient rows with explicit status.</w:t>
      </w:r>
    </w:p>
    <w:p>
      <w:r>
        <w:rPr>
          <w:rFonts w:ascii="Times New Roman" w:hAnsi="Times New Roman" w:eastAsia="Times New Roman"/>
          <w:b/>
          <w:sz w:val="23"/>
        </w:rPr>
        <w:t>Table S5. Complete among-taxon environment atlas.</w:t>
      </w:r>
      <w:r>
        <w:rPr>
          <w:rFonts w:ascii="Times New Roman" w:hAnsi="Times New Roman" w:eastAsia="Times New Roman"/>
          <w:sz w:val="23"/>
        </w:rPr>
        <w:t xml:space="preserve"> Every primary and sensitivity-scope row, including unsupported, unexecuted and insufficient rows with explicit status.</w:t>
      </w:r>
    </w:p>
    <w:p>
      <w:r>
        <w:rPr>
          <w:rFonts w:ascii="Times New Roman" w:hAnsi="Times New Roman" w:eastAsia="Times New Roman"/>
          <w:b/>
          <w:sz w:val="23"/>
        </w:rPr>
        <w:t>Table S6. Complete cross-scale classification.</w:t>
      </w:r>
      <w:r>
        <w:rPr>
          <w:rFonts w:ascii="Times New Roman" w:hAnsi="Times New Roman" w:eastAsia="Times New Roman"/>
          <w:sz w:val="23"/>
        </w:rPr>
        <w:t xml:space="preserve"> All 234 primary endpoint or joint-unit by predictor rows classified as both, within-only, among-only, neither or not comparable.</w:t>
      </w:r>
    </w:p>
    <w:p>
      <w:r>
        <w:rPr>
          <w:rFonts w:ascii="Times New Roman" w:hAnsi="Times New Roman" w:eastAsia="Times New Roman"/>
          <w:b/>
          <w:sz w:val="23"/>
        </w:rPr>
        <w:t>Table S7. Sampling-composition robustness.</w:t>
      </w:r>
      <w:r>
        <w:rPr>
          <w:rFonts w:ascii="Times New Roman" w:hAnsi="Times New Roman" w:eastAsia="Times New Roman"/>
          <w:sz w:val="23"/>
        </w:rPr>
        <w:t xml:space="preserve"> Selected rows by scenario family, evaluability, direction stability and minimum retained effect-magnitude ratio; no post-selection significance tests are reported.</w:t>
      </w:r>
    </w:p>
    <w:p>
      <w:r>
        <w:rPr>
          <w:rFonts w:ascii="Times New Roman" w:hAnsi="Times New Roman" w:eastAsia="Times New Roman"/>
          <w:b/>
          <w:sz w:val="23"/>
        </w:rPr>
        <w:t>Table S8. Spatial and historical sequential gate.</w:t>
      </w:r>
      <w:r>
        <w:rPr>
          <w:rFonts w:ascii="Times New Roman" w:hAnsi="Times New Roman" w:eastAsia="Times New Roman"/>
          <w:sz w:val="23"/>
        </w:rPr>
        <w:t xml:space="preserve"> Base, sampling, broad-space, residual-Moran and historical-placement evidence for every globally supported row entering the sequential audit.</w:t>
      </w:r>
    </w:p>
    <w:p>
      <w:r>
        <w:rPr>
          <w:rFonts w:ascii="Times New Roman" w:hAnsi="Times New Roman" w:eastAsia="Times New Roman"/>
          <w:b/>
          <w:sz w:val="23"/>
        </w:rPr>
        <w:t>Table S9. Secondary whole-capitulum synthesis.</w:t>
      </w:r>
      <w:r>
        <w:rPr>
          <w:rFonts w:ascii="Times New Roman" w:hAnsi="Times New Roman" w:eastAsia="Times New Roman"/>
          <w:sz w:val="23"/>
        </w:rPr>
        <w:t xml:space="preserve"> Frozen headline metrics for the expanded 127-taxon by 18-endpoint secondary synthesis. This summary does not select endpoint rows or replace decomposed geography.</w:t>
      </w:r>
    </w:p>
    <w:p>
      <w:r>
        <w:rPr>
          <w:rFonts w:ascii="Times New Roman" w:hAnsi="Times New Roman" w:eastAsia="Times New Roman"/>
          <w:b/>
          <w:sz w:val="23"/>
        </w:rPr>
        <w:t>Table S10. Full analytical roadmap.</w:t>
      </w:r>
      <w:r>
        <w:rPr>
          <w:rFonts w:ascii="Times New Roman" w:hAnsi="Times New Roman" w:eastAsia="Times New Roman"/>
          <w:sz w:val="23"/>
        </w:rPr>
        <w:t xml:space="preserve"> Eight-column audit version of Main Table 1, retaining the scientific question, input cohort, endpoint or predictor scope, statistical operation, decision gate and linked displays for each frozen stage.</w:t>
      </w:r>
    </w:p>
    <w:p>
      <w:pPr>
        <w:pStyle w:val="Heading2"/>
      </w:pPr>
      <w:r>
        <w:t>Supplementary data-file index</w:t>
      </w:r>
    </w:p>
    <w:p>
      <w:r>
        <w:rPr>
          <w:rFonts w:ascii="Times New Roman" w:hAnsi="Times New Roman" w:eastAsia="Times New Roman"/>
          <w:sz w:val="23"/>
        </w:rPr>
        <w:t xml:space="preserve">All files below are under </w:t>
      </w:r>
      <w:r>
        <w:rPr>
          <w:rFonts w:ascii="Consolas" w:hAnsi="Consolas" w:eastAsia="Consolas"/>
          <w:sz w:val="19"/>
        </w:rPr>
        <w:t>analysis_outputs/v2_full27_environment_atlas_2026-08-27/</w:t>
      </w:r>
      <w:r>
        <w:rPr>
          <w:rFonts w:ascii="Times New Roman" w:hAnsi="Times New Roman" w:eastAsia="Times New Roman"/>
          <w:sz w:val="23"/>
        </w:rPr>
        <w:t xml:space="preserve"> in the repository and in the submission bundle.</w:t>
      </w:r>
    </w:p>
    <w:p>
      <w:pPr>
        <w:pStyle w:val="ListBullet"/>
      </w:pPr>
      <w:r>
        <w:rPr>
          <w:rFonts w:ascii="Consolas" w:hAnsi="Consolas" w:eastAsia="Consolas"/>
          <w:sz w:val="19"/>
        </w:rPr>
        <w:t>v2_full27_endpoint_inventory.csv</w:t>
      </w:r>
      <w:r>
        <w:rPr>
          <w:rFonts w:ascii="Times New Roman" w:hAnsi="Times New Roman" w:eastAsia="Times New Roman"/>
          <w:sz w:val="23"/>
        </w:rPr>
        <w:t>: all 27 registered endpoint statuses, validation boundaries and coverage.</w:t>
      </w:r>
    </w:p>
    <w:p>
      <w:pPr>
        <w:pStyle w:val="ListBullet"/>
      </w:pPr>
      <w:r>
        <w:rPr>
          <w:rFonts w:ascii="Consolas" w:hAnsi="Consolas" w:eastAsia="Consolas"/>
          <w:sz w:val="19"/>
        </w:rPr>
        <w:t>v2_full27_trait_geography.csv</w:t>
      </w:r>
      <w:r>
        <w:rPr>
          <w:rFonts w:ascii="Times New Roman" w:hAnsi="Times New Roman" w:eastAsia="Times New Roman"/>
          <w:sz w:val="23"/>
        </w:rPr>
        <w:t>: endpoint-specific geographic support.</w:t>
      </w:r>
    </w:p>
    <w:p>
      <w:pPr>
        <w:pStyle w:val="ListBullet"/>
      </w:pPr>
      <w:r>
        <w:rPr>
          <w:rFonts w:ascii="Consolas" w:hAnsi="Consolas" w:eastAsia="Consolas"/>
          <w:sz w:val="19"/>
        </w:rPr>
        <w:t>v2_full27_variance_decomposition.csv</w:t>
      </w:r>
      <w:r>
        <w:rPr>
          <w:rFonts w:ascii="Times New Roman" w:hAnsi="Times New Roman" w:eastAsia="Times New Roman"/>
          <w:sz w:val="23"/>
        </w:rPr>
        <w:t>: raw and equal-replication information-loss partitions.</w:t>
      </w:r>
    </w:p>
    <w:p>
      <w:pPr>
        <w:pStyle w:val="ListBullet"/>
      </w:pPr>
      <w:r>
        <w:rPr>
          <w:rFonts w:ascii="Consolas" w:hAnsi="Consolas" w:eastAsia="Consolas"/>
          <w:sz w:val="19"/>
        </w:rPr>
        <w:t>v2_full27_environment_within.csv</w:t>
      </w:r>
      <w:r>
        <w:rPr>
          <w:rFonts w:ascii="Times New Roman" w:hAnsi="Times New Roman" w:eastAsia="Times New Roman"/>
          <w:sz w:val="23"/>
        </w:rPr>
        <w:t>: complete within-taxon atlas.</w:t>
      </w:r>
    </w:p>
    <w:p>
      <w:pPr>
        <w:pStyle w:val="ListBullet"/>
      </w:pPr>
      <w:r>
        <w:rPr>
          <w:rFonts w:ascii="Consolas" w:hAnsi="Consolas" w:eastAsia="Consolas"/>
          <w:sz w:val="19"/>
        </w:rPr>
        <w:t>v2_full27_environment_among.csv</w:t>
      </w:r>
      <w:r>
        <w:rPr>
          <w:rFonts w:ascii="Times New Roman" w:hAnsi="Times New Roman" w:eastAsia="Times New Roman"/>
          <w:sz w:val="23"/>
        </w:rPr>
        <w:t>: complete among-taxon minimum-five and minimum-two atlases.</w:t>
      </w:r>
    </w:p>
    <w:p>
      <w:pPr>
        <w:pStyle w:val="ListBullet"/>
      </w:pPr>
      <w:r>
        <w:rPr>
          <w:rFonts w:ascii="Consolas" w:hAnsi="Consolas" w:eastAsia="Consolas"/>
          <w:sz w:val="19"/>
        </w:rPr>
        <w:t>v2_full27_environment_cross_scale.csv</w:t>
      </w:r>
      <w:r>
        <w:rPr>
          <w:rFonts w:ascii="Times New Roman" w:hAnsi="Times New Roman" w:eastAsia="Times New Roman"/>
          <w:sz w:val="23"/>
        </w:rPr>
        <w:t>: primary matched scale classification.</w:t>
      </w:r>
    </w:p>
    <w:p>
      <w:pPr>
        <w:pStyle w:val="ListBullet"/>
      </w:pPr>
      <w:r>
        <w:rPr>
          <w:rFonts w:ascii="Consolas" w:hAnsi="Consolas" w:eastAsia="Consolas"/>
          <w:sz w:val="19"/>
        </w:rPr>
        <w:t>sampling/v2_full27_sampling_composition_scenarios.csv</w:t>
      </w:r>
      <w:r>
        <w:rPr>
          <w:rFonts w:ascii="Times New Roman" w:hAnsi="Times New Roman" w:eastAsia="Times New Roman"/>
          <w:sz w:val="23"/>
        </w:rPr>
        <w:t>: all 674 perturbation rows.</w:t>
      </w:r>
    </w:p>
    <w:p>
      <w:pPr>
        <w:pStyle w:val="ListBullet"/>
      </w:pPr>
      <w:r>
        <w:rPr>
          <w:rFonts w:ascii="Consolas" w:hAnsi="Consolas" w:eastAsia="Consolas"/>
          <w:sz w:val="19"/>
        </w:rPr>
        <w:t>sampling/v2_full27_sampling_composition_summary.csv</w:t>
      </w:r>
      <w:r>
        <w:rPr>
          <w:rFonts w:ascii="Times New Roman" w:hAnsi="Times New Roman" w:eastAsia="Times New Roman"/>
          <w:sz w:val="23"/>
        </w:rPr>
        <w:t>: selected-row sampling stability and effect-magnitude ratios.</w:t>
      </w:r>
    </w:p>
    <w:p>
      <w:pPr>
        <w:pStyle w:val="ListBullet"/>
      </w:pPr>
      <w:r>
        <w:rPr>
          <w:rFonts w:ascii="Consolas" w:hAnsi="Consolas" w:eastAsia="Consolas"/>
          <w:sz w:val="19"/>
        </w:rPr>
        <w:t>spatial/v2_full27_spatial_within.csv</w:t>
      </w:r>
      <w:r>
        <w:rPr>
          <w:rFonts w:ascii="Times New Roman" w:hAnsi="Times New Roman" w:eastAsia="Times New Roman"/>
          <w:sz w:val="23"/>
        </w:rPr>
        <w:t>: complete within-taxon broad-space diagnostics for globally supported rows.</w:t>
      </w:r>
    </w:p>
    <w:p>
      <w:pPr>
        <w:pStyle w:val="ListBullet"/>
      </w:pPr>
      <w:r>
        <w:rPr>
          <w:rFonts w:ascii="Consolas" w:hAnsi="Consolas" w:eastAsia="Consolas"/>
          <w:sz w:val="19"/>
        </w:rPr>
        <w:t>spatial/v2_full27_spatial_among.csv</w:t>
      </w:r>
      <w:r>
        <w:rPr>
          <w:rFonts w:ascii="Times New Roman" w:hAnsi="Times New Roman" w:eastAsia="Times New Roman"/>
          <w:sz w:val="23"/>
        </w:rPr>
        <w:t>: complete among-taxon broad-space diagnostics for globally supported rows.</w:t>
      </w:r>
    </w:p>
    <w:p>
      <w:pPr>
        <w:pStyle w:val="ListBullet"/>
      </w:pPr>
      <w:r>
        <w:rPr>
          <w:rFonts w:ascii="Consolas" w:hAnsi="Consolas" w:eastAsia="Consolas"/>
          <w:sz w:val="19"/>
        </w:rPr>
        <w:t>historical/v2_full27_historical_placement_models.csv</w:t>
      </w:r>
      <w:r>
        <w:rPr>
          <w:rFonts w:ascii="Times New Roman" w:hAnsi="Times New Roman" w:eastAsia="Times New Roman"/>
          <w:sz w:val="23"/>
        </w:rPr>
        <w:t>: all tree-level historical-placement models.</w:t>
      </w:r>
    </w:p>
    <w:p>
      <w:pPr>
        <w:pStyle w:val="ListBullet"/>
      </w:pPr>
      <w:r>
        <w:rPr>
          <w:rFonts w:ascii="Consolas" w:hAnsi="Consolas" w:eastAsia="Consolas"/>
          <w:sz w:val="19"/>
        </w:rPr>
        <w:t>historical/v2_full27_historical_placement_summary.csv</w:t>
      </w:r>
      <w:r>
        <w:rPr>
          <w:rFonts w:ascii="Times New Roman" w:hAnsi="Times New Roman" w:eastAsia="Times New Roman"/>
          <w:sz w:val="23"/>
        </w:rPr>
        <w:t>: 52-tree endpoint summaries.</w:t>
      </w:r>
    </w:p>
    <w:p>
      <w:r>
        <w:br w:type="page"/>
      </w:r>
    </w:p>
    <w:p>
      <w:pPr>
        <w:pStyle w:val="Heading1"/>
      </w:pPr>
      <w:r>
        <w:t>Supplementary table workbook index</w:t>
      </w:r>
    </w:p>
    <w:tbl>
      <w:tblPr>
        <w:tblStyle w:val="TableGrid"/>
        <w:tblW w:type="auto" w:w="0"/>
        <w:tblLook w:firstColumn="1" w:firstRow="1" w:lastColumn="0" w:lastRow="0" w:noHBand="0" w:noVBand="1" w:val="04A0"/>
      </w:tblPr>
      <w:tblGrid>
        <w:gridCol w:w="3010"/>
        <w:gridCol w:w="3010"/>
        <w:gridCol w:w="3010"/>
      </w:tblGrid>
      <w:tr>
        <w:trPr>
          <w:tblHeader w:val="true"/>
        </w:trPr>
        <w:tc>
          <w:tcPr>
            <w:tcW w:type="dxa" w:w="3010"/>
            <w:shd w:fill="0F5B66"/>
          </w:tcPr>
          <w:p>
            <w:r>
              <w:rPr>
                <w:rFonts w:ascii="Times New Roman" w:hAnsi="Times New Roman" w:eastAsia="Times New Roman"/>
                <w:b/>
                <w:color w:val="FFFFFF"/>
                <w:sz w:val="18"/>
              </w:rPr>
              <w:t>Table</w:t>
            </w:r>
          </w:p>
        </w:tc>
        <w:tc>
          <w:tcPr>
            <w:tcW w:type="dxa" w:w="3010"/>
            <w:shd w:fill="0F5B66"/>
          </w:tcPr>
          <w:p>
            <w:r>
              <w:rPr>
                <w:rFonts w:ascii="Times New Roman" w:hAnsi="Times New Roman" w:eastAsia="Times New Roman"/>
                <w:b/>
                <w:color w:val="FFFFFF"/>
                <w:sz w:val="18"/>
              </w:rPr>
              <w:t>Rows</w:t>
            </w:r>
          </w:p>
        </w:tc>
        <w:tc>
          <w:tcPr>
            <w:tcW w:type="dxa" w:w="3010"/>
            <w:shd w:fill="0F5B66"/>
          </w:tcPr>
          <w:p>
            <w:r>
              <w:rPr>
                <w:rFonts w:ascii="Times New Roman" w:hAnsi="Times New Roman" w:eastAsia="Times New Roman"/>
                <w:b/>
                <w:color w:val="FFFFFF"/>
                <w:sz w:val="18"/>
              </w:rPr>
              <w:t>Workbook sheet</w:t>
            </w:r>
          </w:p>
        </w:tc>
      </w:tr>
      <w:tr>
        <w:tc>
          <w:tcPr>
            <w:tcW w:type="dxa" w:w="3010"/>
          </w:tcPr>
          <w:p>
            <w:r>
              <w:rPr>
                <w:rFonts w:ascii="Times New Roman" w:hAnsi="Times New Roman" w:eastAsia="Times New Roman"/>
                <w:sz w:val="18"/>
              </w:rPr>
              <w:t>Table S1</w:t>
            </w:r>
          </w:p>
        </w:tc>
        <w:tc>
          <w:tcPr>
            <w:tcW w:type="dxa" w:w="3010"/>
          </w:tcPr>
          <w:p>
            <w:r>
              <w:rPr>
                <w:rFonts w:ascii="Times New Roman" w:hAnsi="Times New Roman" w:eastAsia="Times New Roman"/>
                <w:sz w:val="18"/>
              </w:rPr>
              <w:t>27</w:t>
            </w:r>
          </w:p>
        </w:tc>
        <w:tc>
          <w:tcPr>
            <w:tcW w:type="dxa" w:w="3010"/>
          </w:tcPr>
          <w:p>
            <w:r>
              <w:rPr>
                <w:rFonts w:ascii="Times New Roman" w:hAnsi="Times New Roman" w:eastAsia="Times New Roman"/>
                <w:sz w:val="18"/>
              </w:rPr>
              <w:t>S1 Endpoint contract</w:t>
            </w:r>
          </w:p>
        </w:tc>
      </w:tr>
      <w:tr>
        <w:tc>
          <w:tcPr>
            <w:tcW w:type="dxa" w:w="3010"/>
          </w:tcPr>
          <w:p>
            <w:r>
              <w:rPr>
                <w:rFonts w:ascii="Times New Roman" w:hAnsi="Times New Roman" w:eastAsia="Times New Roman"/>
                <w:sz w:val="18"/>
              </w:rPr>
              <w:t>Table S2</w:t>
            </w:r>
          </w:p>
        </w:tc>
        <w:tc>
          <w:tcPr>
            <w:tcW w:type="dxa" w:w="3010"/>
          </w:tcPr>
          <w:p>
            <w:r>
              <w:rPr>
                <w:rFonts w:ascii="Times New Roman" w:hAnsi="Times New Roman" w:eastAsia="Times New Roman"/>
                <w:sz w:val="18"/>
              </w:rPr>
              <w:t>5</w:t>
            </w:r>
          </w:p>
        </w:tc>
        <w:tc>
          <w:tcPr>
            <w:tcW w:type="dxa" w:w="3010"/>
          </w:tcPr>
          <w:p>
            <w:r>
              <w:rPr>
                <w:rFonts w:ascii="Times New Roman" w:hAnsi="Times New Roman" w:eastAsia="Times New Roman"/>
                <w:sz w:val="18"/>
              </w:rPr>
              <w:t>S2 Cohort filtering</w:t>
            </w:r>
          </w:p>
        </w:tc>
      </w:tr>
      <w:tr>
        <w:tc>
          <w:tcPr>
            <w:tcW w:type="dxa" w:w="3010"/>
          </w:tcPr>
          <w:p>
            <w:r>
              <w:rPr>
                <w:rFonts w:ascii="Times New Roman" w:hAnsi="Times New Roman" w:eastAsia="Times New Roman"/>
                <w:sz w:val="18"/>
              </w:rPr>
              <w:t>Table S3</w:t>
            </w:r>
          </w:p>
        </w:tc>
        <w:tc>
          <w:tcPr>
            <w:tcW w:type="dxa" w:w="3010"/>
          </w:tcPr>
          <w:p>
            <w:r>
              <w:rPr>
                <w:rFonts w:ascii="Times New Roman" w:hAnsi="Times New Roman" w:eastAsia="Times New Roman"/>
                <w:sz w:val="18"/>
              </w:rPr>
              <w:t>27</w:t>
            </w:r>
          </w:p>
        </w:tc>
        <w:tc>
          <w:tcPr>
            <w:tcW w:type="dxa" w:w="3010"/>
          </w:tcPr>
          <w:p>
            <w:r>
              <w:rPr>
                <w:rFonts w:ascii="Times New Roman" w:hAnsi="Times New Roman" w:eastAsia="Times New Roman"/>
                <w:sz w:val="18"/>
              </w:rPr>
              <w:t>S3 Variance</w:t>
            </w:r>
          </w:p>
        </w:tc>
      </w:tr>
      <w:tr>
        <w:tc>
          <w:tcPr>
            <w:tcW w:type="dxa" w:w="3010"/>
          </w:tcPr>
          <w:p>
            <w:r>
              <w:rPr>
                <w:rFonts w:ascii="Times New Roman" w:hAnsi="Times New Roman" w:eastAsia="Times New Roman"/>
                <w:sz w:val="18"/>
              </w:rPr>
              <w:t>Table S4</w:t>
            </w:r>
          </w:p>
        </w:tc>
        <w:tc>
          <w:tcPr>
            <w:tcW w:type="dxa" w:w="3010"/>
          </w:tcPr>
          <w:p>
            <w:r>
              <w:rPr>
                <w:rFonts w:ascii="Times New Roman" w:hAnsi="Times New Roman" w:eastAsia="Times New Roman"/>
                <w:sz w:val="18"/>
              </w:rPr>
              <w:t>234</w:t>
            </w:r>
          </w:p>
        </w:tc>
        <w:tc>
          <w:tcPr>
            <w:tcW w:type="dxa" w:w="3010"/>
          </w:tcPr>
          <w:p>
            <w:r>
              <w:rPr>
                <w:rFonts w:ascii="Times New Roman" w:hAnsi="Times New Roman" w:eastAsia="Times New Roman"/>
                <w:sz w:val="18"/>
              </w:rPr>
              <w:t>S4 Within atlas</w:t>
            </w:r>
          </w:p>
        </w:tc>
      </w:tr>
      <w:tr>
        <w:tc>
          <w:tcPr>
            <w:tcW w:type="dxa" w:w="3010"/>
          </w:tcPr>
          <w:p>
            <w:r>
              <w:rPr>
                <w:rFonts w:ascii="Times New Roman" w:hAnsi="Times New Roman" w:eastAsia="Times New Roman"/>
                <w:sz w:val="18"/>
              </w:rPr>
              <w:t>Table S5</w:t>
            </w:r>
          </w:p>
        </w:tc>
        <w:tc>
          <w:tcPr>
            <w:tcW w:type="dxa" w:w="3010"/>
          </w:tcPr>
          <w:p>
            <w:r>
              <w:rPr>
                <w:rFonts w:ascii="Times New Roman" w:hAnsi="Times New Roman" w:eastAsia="Times New Roman"/>
                <w:sz w:val="18"/>
              </w:rPr>
              <w:t>468</w:t>
            </w:r>
          </w:p>
        </w:tc>
        <w:tc>
          <w:tcPr>
            <w:tcW w:type="dxa" w:w="3010"/>
          </w:tcPr>
          <w:p>
            <w:r>
              <w:rPr>
                <w:rFonts w:ascii="Times New Roman" w:hAnsi="Times New Roman" w:eastAsia="Times New Roman"/>
                <w:sz w:val="18"/>
              </w:rPr>
              <w:t>S5 Among atlas</w:t>
            </w:r>
          </w:p>
        </w:tc>
      </w:tr>
      <w:tr>
        <w:tc>
          <w:tcPr>
            <w:tcW w:type="dxa" w:w="3010"/>
          </w:tcPr>
          <w:p>
            <w:r>
              <w:rPr>
                <w:rFonts w:ascii="Times New Roman" w:hAnsi="Times New Roman" w:eastAsia="Times New Roman"/>
                <w:sz w:val="18"/>
              </w:rPr>
              <w:t>Table S6</w:t>
            </w:r>
          </w:p>
        </w:tc>
        <w:tc>
          <w:tcPr>
            <w:tcW w:type="dxa" w:w="3010"/>
          </w:tcPr>
          <w:p>
            <w:r>
              <w:rPr>
                <w:rFonts w:ascii="Times New Roman" w:hAnsi="Times New Roman" w:eastAsia="Times New Roman"/>
                <w:sz w:val="18"/>
              </w:rPr>
              <w:t>234</w:t>
            </w:r>
          </w:p>
        </w:tc>
        <w:tc>
          <w:tcPr>
            <w:tcW w:type="dxa" w:w="3010"/>
          </w:tcPr>
          <w:p>
            <w:r>
              <w:rPr>
                <w:rFonts w:ascii="Times New Roman" w:hAnsi="Times New Roman" w:eastAsia="Times New Roman"/>
                <w:sz w:val="18"/>
              </w:rPr>
              <w:t>S6 Cross-scale</w:t>
            </w:r>
          </w:p>
        </w:tc>
      </w:tr>
      <w:tr>
        <w:tc>
          <w:tcPr>
            <w:tcW w:type="dxa" w:w="3010"/>
          </w:tcPr>
          <w:p>
            <w:r>
              <w:rPr>
                <w:rFonts w:ascii="Times New Roman" w:hAnsi="Times New Roman" w:eastAsia="Times New Roman"/>
                <w:sz w:val="18"/>
              </w:rPr>
              <w:t>Table S7</w:t>
            </w:r>
          </w:p>
        </w:tc>
        <w:tc>
          <w:tcPr>
            <w:tcW w:type="dxa" w:w="3010"/>
          </w:tcPr>
          <w:p>
            <w:r>
              <w:rPr>
                <w:rFonts w:ascii="Times New Roman" w:hAnsi="Times New Roman" w:eastAsia="Times New Roman"/>
                <w:sz w:val="18"/>
              </w:rPr>
              <w:t>134</w:t>
            </w:r>
          </w:p>
        </w:tc>
        <w:tc>
          <w:tcPr>
            <w:tcW w:type="dxa" w:w="3010"/>
          </w:tcPr>
          <w:p>
            <w:r>
              <w:rPr>
                <w:rFonts w:ascii="Times New Roman" w:hAnsi="Times New Roman" w:eastAsia="Times New Roman"/>
                <w:sz w:val="18"/>
              </w:rPr>
              <w:t>S7 Sampling</w:t>
            </w:r>
          </w:p>
        </w:tc>
      </w:tr>
      <w:tr>
        <w:tc>
          <w:tcPr>
            <w:tcW w:type="dxa" w:w="3010"/>
          </w:tcPr>
          <w:p>
            <w:r>
              <w:rPr>
                <w:rFonts w:ascii="Times New Roman" w:hAnsi="Times New Roman" w:eastAsia="Times New Roman"/>
                <w:sz w:val="18"/>
              </w:rPr>
              <w:t>Table S8</w:t>
            </w:r>
          </w:p>
        </w:tc>
        <w:tc>
          <w:tcPr>
            <w:tcW w:type="dxa" w:w="3010"/>
          </w:tcPr>
          <w:p>
            <w:r>
              <w:rPr>
                <w:rFonts w:ascii="Times New Roman" w:hAnsi="Times New Roman" w:eastAsia="Times New Roman"/>
                <w:sz w:val="18"/>
              </w:rPr>
              <w:t>36</w:t>
            </w:r>
          </w:p>
        </w:tc>
        <w:tc>
          <w:tcPr>
            <w:tcW w:type="dxa" w:w="3010"/>
          </w:tcPr>
          <w:p>
            <w:r>
              <w:rPr>
                <w:rFonts w:ascii="Times New Roman" w:hAnsi="Times New Roman" w:eastAsia="Times New Roman"/>
                <w:sz w:val="18"/>
              </w:rPr>
              <w:t>S8 Sequential gate</w:t>
            </w:r>
          </w:p>
        </w:tc>
      </w:tr>
      <w:tr>
        <w:tc>
          <w:tcPr>
            <w:tcW w:type="dxa" w:w="3010"/>
          </w:tcPr>
          <w:p>
            <w:r>
              <w:rPr>
                <w:rFonts w:ascii="Times New Roman" w:hAnsi="Times New Roman" w:eastAsia="Times New Roman"/>
                <w:sz w:val="18"/>
              </w:rPr>
              <w:t>Table S9</w:t>
            </w:r>
          </w:p>
        </w:tc>
        <w:tc>
          <w:tcPr>
            <w:tcW w:type="dxa" w:w="3010"/>
          </w:tcPr>
          <w:p>
            <w:r>
              <w:rPr>
                <w:rFonts w:ascii="Times New Roman" w:hAnsi="Times New Roman" w:eastAsia="Times New Roman"/>
                <w:sz w:val="18"/>
              </w:rPr>
              <w:t>2</w:t>
            </w:r>
          </w:p>
        </w:tc>
        <w:tc>
          <w:tcPr>
            <w:tcW w:type="dxa" w:w="3010"/>
          </w:tcPr>
          <w:p>
            <w:r>
              <w:rPr>
                <w:rFonts w:ascii="Times New Roman" w:hAnsi="Times New Roman" w:eastAsia="Times New Roman"/>
                <w:sz w:val="18"/>
              </w:rPr>
              <w:t>S9 Secondary synthesis</w:t>
            </w:r>
          </w:p>
        </w:tc>
      </w:tr>
      <w:tr>
        <w:tc>
          <w:tcPr>
            <w:tcW w:type="dxa" w:w="3010"/>
          </w:tcPr>
          <w:p>
            <w:r>
              <w:rPr>
                <w:rFonts w:ascii="Times New Roman" w:hAnsi="Times New Roman" w:eastAsia="Times New Roman"/>
                <w:sz w:val="18"/>
              </w:rPr>
              <w:t>Table S10</w:t>
            </w:r>
          </w:p>
        </w:tc>
        <w:tc>
          <w:tcPr>
            <w:tcW w:type="dxa" w:w="3010"/>
          </w:tcPr>
          <w:p>
            <w:r>
              <w:rPr>
                <w:rFonts w:ascii="Times New Roman" w:hAnsi="Times New Roman" w:eastAsia="Times New Roman"/>
                <w:sz w:val="18"/>
              </w:rPr>
              <w:t>8</w:t>
            </w:r>
          </w:p>
        </w:tc>
        <w:tc>
          <w:tcPr>
            <w:tcW w:type="dxa" w:w="3010"/>
          </w:tcPr>
          <w:p>
            <w:r>
              <w:rPr>
                <w:rFonts w:ascii="Times New Roman" w:hAnsi="Times New Roman" w:eastAsia="Times New Roman"/>
                <w:sz w:val="18"/>
              </w:rPr>
              <w:t>S10 Full roadmap</w:t>
            </w:r>
          </w:p>
        </w:tc>
      </w:tr>
    </w:tbl>
    <w:p>
      <w:r>
        <w:br w:type="page"/>
      </w:r>
    </w:p>
    <w:p>
      <w:pPr>
        <w:pStyle w:val="Heading1"/>
      </w:pPr>
      <w:r>
        <w:t>Supporting figures</w:t>
      </w:r>
    </w:p>
    <w:p>
      <w:pPr>
        <w:keepNext/>
        <w:jc w:val="center"/>
      </w:pPr>
      <w:r>
        <w:drawing>
          <wp:inline xmlns:a="http://schemas.openxmlformats.org/drawingml/2006/main" xmlns:pic="http://schemas.openxmlformats.org/drawingml/2006/picture">
            <wp:extent cx="5760720" cy="4492354"/>
            <wp:docPr id="1" name="Picture 1" descr="Observation and taxon coverage for all measured endpoints; unexecuted rows remain explicit in the endpoint inventory." title="Observation and taxon coverage for all measured endpoints; unexecuted rows remain explicit in the endpoint inventory"/>
            <wp:cNvGraphicFramePr>
              <a:graphicFrameLocks noChangeAspect="1"/>
            </wp:cNvGraphicFramePr>
            <a:graphic>
              <a:graphicData uri="http://schemas.openxmlformats.org/drawingml/2006/picture">
                <pic:pic>
                  <pic:nvPicPr>
                    <pic:cNvPr id="0" name="Figure_S1_v2_endpoint_measurement_support.png"/>
                    <pic:cNvPicPr/>
                  </pic:nvPicPr>
                  <pic:blipFill>
                    <a:blip r:embed="rId9"/>
                    <a:stretch>
                      <a:fillRect/>
                    </a:stretch>
                  </pic:blipFill>
                  <pic:spPr>
                    <a:xfrm>
                      <a:off x="0" y="0"/>
                      <a:ext cx="5760720" cy="4492354"/>
                    </a:xfrm>
                    <a:prstGeom prst="rect"/>
                  </pic:spPr>
                </pic:pic>
              </a:graphicData>
            </a:graphic>
          </wp:inline>
        </w:drawing>
      </w:r>
    </w:p>
    <w:p>
      <w:pPr>
        <w:keepLines/>
        <w:jc w:val="left"/>
      </w:pPr>
      <w:r>
        <w:rPr>
          <w:rFonts w:ascii="Times New Roman" w:hAnsi="Times New Roman" w:eastAsia="Times New Roman"/>
          <w:b/>
          <w:sz w:val="20"/>
        </w:rPr>
        <w:t>Figure S1. Measurement support across the registered continuous-trait universe in the global public-image cohort of thistle capitula. Observation and source-assigned taxon coverage are shown for every measured endpoint; explicit unexecuted endpoints remain in the inventory. The display diagnoses data support and does not repeat the main taxon-mean information-loss result.</w:t>
      </w:r>
    </w:p>
    <w:p>
      <w:pPr>
        <w:keepNext/>
        <w:jc w:val="center"/>
      </w:pPr>
      <w:r>
        <w:drawing>
          <wp:inline xmlns:a="http://schemas.openxmlformats.org/drawingml/2006/main" xmlns:pic="http://schemas.openxmlformats.org/drawingml/2006/picture">
            <wp:extent cx="5760720" cy="4792461"/>
            <wp:docPr id="2" name="Picture 2" descr="Minimum retained effect-magnitude ratio for every selected within- and among-taxon row, with direction-instability flagged." title="Minimum retained effect-magnitude ratio for every selected within- and among-taxon row, with direction-instability flagged"/>
            <wp:cNvGraphicFramePr>
              <a:graphicFrameLocks noChangeAspect="1"/>
            </wp:cNvGraphicFramePr>
            <a:graphic>
              <a:graphicData uri="http://schemas.openxmlformats.org/drawingml/2006/picture">
                <pic:pic>
                  <pic:nvPicPr>
                    <pic:cNvPr id="0" name="Figure_S2_v2_sampling_composition_audit.png"/>
                    <pic:cNvPicPr/>
                  </pic:nvPicPr>
                  <pic:blipFill>
                    <a:blip r:embed="rId10"/>
                    <a:stretch>
                      <a:fillRect/>
                    </a:stretch>
                  </pic:blipFill>
                  <pic:spPr>
                    <a:xfrm>
                      <a:off x="0" y="0"/>
                      <a:ext cx="5760720" cy="4792461"/>
                    </a:xfrm>
                    <a:prstGeom prst="rect"/>
                  </pic:spPr>
                </pic:pic>
              </a:graphicData>
            </a:graphic>
          </wp:inline>
        </w:drawing>
      </w:r>
    </w:p>
    <w:p>
      <w:pPr>
        <w:keepLines/>
        <w:jc w:val="left"/>
      </w:pPr>
      <w:r>
        <w:rPr>
          <w:rFonts w:ascii="Times New Roman" w:hAnsi="Times New Roman" w:eastAsia="Times New Roman"/>
          <w:b/>
          <w:sz w:val="20"/>
        </w:rPr>
        <w:t>Figure S2. Sampling-composition sensitivity of all globally supported rows entering the audit in the global public-image cohort of thistle capitula. Bars show the minimum retained effect-magnitude ratio across declared perturbations for each selected within- and among-taxon association; colour distinguishes direction-stable from direction-unstable rows. This is the full selected-row audit rather than only the two final candidates, and it contains no post-selection significance tests.</w:t>
      </w:r>
    </w:p>
    <w:p>
      <w:pPr>
        <w:keepNext/>
        <w:jc w:val="center"/>
      </w:pPr>
      <w:r>
        <w:drawing>
          <wp:inline xmlns:a="http://schemas.openxmlformats.org/drawingml/2006/main" xmlns:pic="http://schemas.openxmlformats.org/drawingml/2006/picture">
            <wp:extent cx="5760720" cy="3843937"/>
            <wp:docPr id="3" name="Picture 3" descr="Spatial permutation support versus residual Moran diagnostic for all rows entering the broad-space gate, with full-gate passage distinguished." title="Spatial permutation support versus residual Moran diagnostic for all rows entering the broad-space gate, with full-gate passage distinguished"/>
            <wp:cNvGraphicFramePr>
              <a:graphicFrameLocks noChangeAspect="1"/>
            </wp:cNvGraphicFramePr>
            <a:graphic>
              <a:graphicData uri="http://schemas.openxmlformats.org/drawingml/2006/picture">
                <pic:pic>
                  <pic:nvPicPr>
                    <pic:cNvPr id="0" name="Figure_S3_v2_spatial_diagnostic_surface.png"/>
                    <pic:cNvPicPr/>
                  </pic:nvPicPr>
                  <pic:blipFill>
                    <a:blip r:embed="rId11"/>
                    <a:stretch>
                      <a:fillRect/>
                    </a:stretch>
                  </pic:blipFill>
                  <pic:spPr>
                    <a:xfrm>
                      <a:off x="0" y="0"/>
                      <a:ext cx="5760720" cy="3843937"/>
                    </a:xfrm>
                    <a:prstGeom prst="rect"/>
                  </pic:spPr>
                </pic:pic>
              </a:graphicData>
            </a:graphic>
          </wp:inline>
        </w:drawing>
      </w:r>
    </w:p>
    <w:p>
      <w:pPr>
        <w:keepLines/>
        <w:jc w:val="left"/>
      </w:pPr>
      <w:r>
        <w:rPr>
          <w:rFonts w:ascii="Times New Roman" w:hAnsi="Times New Roman" w:eastAsia="Times New Roman"/>
          <w:b/>
          <w:sz w:val="20"/>
        </w:rPr>
        <w:t>Figure S3. Broad-space and residual-spatial diagnostic surface for all globally supported rows entering spatial sensitivity in the global public-image cohort of thistle capitula. The horizontal axis shows spatial-association support as -log10(permutation P), and the vertical axis shows residual eight-nearest-neighbour Moran P; point shape separates within- from among-taxon models and colour distinguishes full-gate passage from failure. The display exposes why many initially supported rows do not enter the final candidate set.</w:t>
      </w:r>
    </w:p>
    <w:p>
      <w:pPr>
        <w:keepNext/>
        <w:jc w:val="center"/>
      </w:pPr>
      <w:r>
        <w:drawing>
          <wp:inline xmlns:a="http://schemas.openxmlformats.org/drawingml/2006/main" xmlns:pic="http://schemas.openxmlformats.org/drawingml/2006/picture">
            <wp:extent cx="5760720" cy="1904589"/>
            <wp:docPr id="4" name="Picture 4" descr="Three-panel strip plots show PGLS coefficients, P values and Pagel lambda across two deterministic and 50 randomized placement trees for chroma-radiation and orientation-precipitation." title="Three-panel strip plots show PGLS coefficients, P values and Pagel lambda across two deterministic and 50 randomized placement trees for chroma-radiation and orientation-precipitation"/>
            <wp:cNvGraphicFramePr>
              <a:graphicFrameLocks noChangeAspect="1"/>
            </wp:cNvGraphicFramePr>
            <a:graphic>
              <a:graphicData uri="http://schemas.openxmlformats.org/drawingml/2006/picture">
                <pic:pic>
                  <pic:nvPicPr>
                    <pic:cNvPr id="0" name="Figure_S4_v2_historical_placement_stability.png"/>
                    <pic:cNvPicPr/>
                  </pic:nvPicPr>
                  <pic:blipFill>
                    <a:blip r:embed="rId12"/>
                    <a:stretch>
                      <a:fillRect/>
                    </a:stretch>
                  </pic:blipFill>
                  <pic:spPr>
                    <a:xfrm>
                      <a:off x="0" y="0"/>
                      <a:ext cx="5760720" cy="1904589"/>
                    </a:xfrm>
                    <a:prstGeom prst="rect"/>
                  </pic:spPr>
                </pic:pic>
              </a:graphicData>
            </a:graphic>
          </wp:inline>
        </w:drawing>
      </w:r>
    </w:p>
    <w:p>
      <w:pPr>
        <w:keepLines/>
        <w:jc w:val="left"/>
      </w:pPr>
      <w:r>
        <w:rPr>
          <w:rFonts w:ascii="Times New Roman" w:hAnsi="Times New Roman" w:eastAsia="Times New Roman"/>
          <w:b/>
          <w:sz w:val="20"/>
        </w:rPr>
        <w:t>Figure S4. Frozen 52-tree historical-placement sensitivity for the two among-taxon candidate patterns in the global thistle-capitulum cohort. Standardized Pagel-lambda phylogenetic generalized least-squares coefficients, P values and lambda estimates are shown for two deterministic and 50 randomized within-genus placements per candidate. The display is a placement sensitivity, not a resolved species-tree analysis.</w:t>
      </w:r>
    </w:p>
    <w:sectPr w:rsidR="00FC693F" w:rsidRPr="0006063C" w:rsidSect="00034616">
      <w:footerReference w:type="default" r:id="rId13"/>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Times New Roman" w:hAnsi="Times New Roman" w:eastAsia="Times New Roman"/>
      <w:b w:val="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Blinded submission candidate; scientific HOLD retained.</dc:description>
  <cp:lastModifiedBy/>
  <cp:revision>1</cp:revision>
  <dcterms:created xsi:type="dcterms:W3CDTF">2013-12-23T23:15:00Z</dcterms:created>
  <dcterms:modified xsi:type="dcterms:W3CDTF">2013-12-23T23:15:00Z</dcterms:modified>
  <cp:category/>
</cp:coreProperties>
</file>