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sz w:val="32"/>
        </w:rPr>
        <w:t>Supporting Information — Azami Chapter 1 v2</w:t>
      </w:r>
    </w:p>
    <w:p>
      <w:pPr>
        <w:pStyle w:val="Heading1"/>
      </w:pPr>
      <w:r>
        <w:t>Supporting Information</w:t>
      </w:r>
    </w:p>
    <w:p>
      <w:pPr>
        <w:pStyle w:val="Heading2"/>
      </w:pPr>
      <w:r>
        <w:t>Appendix S1. Full-27 continuous-trait and full-environment analysis</w:t>
      </w:r>
    </w:p>
    <w:p>
      <w:pPr>
        <w:pStyle w:val="Heading3"/>
      </w:pPr>
      <w:r>
        <w:t>S1.1 Frozen cohort and endpoint status</w:t>
      </w:r>
    </w:p>
    <w:p>
      <w:r>
        <w:rPr>
          <w:rFonts w:ascii="Times New Roman" w:hAnsi="Times New Roman" w:eastAsia="Times New Roman"/>
          <w:sz w:val="23"/>
        </w:rPr>
        <w:t xml:space="preserve">The phenotype-blind spatial cohort retained one observation per source-assigned taxon by 0.25-degree cell after a positional-accuracy threshold of 10 km. It contained 46,276 observations from 259 taxa. The registered universe contained 27 endpoints: 22 were measured and five remained explicit unexecuted rows. Hue sine and cosine formed one joint circular inferential unit. Endpoint status, measurement counts and validation boundaries are given in </w:t>
      </w:r>
      <w:r>
        <w:rPr>
          <w:rFonts w:ascii="Consolas" w:hAnsi="Consolas" w:eastAsia="Consolas"/>
          <w:sz w:val="19"/>
        </w:rPr>
        <w:t>v2_full27_endpoint_inventory.csv</w:t>
      </w:r>
      <w:r>
        <w:rPr>
          <w:rFonts w:ascii="Times New Roman" w:hAnsi="Times New Roman" w:eastAsia="Times New Roman"/>
          <w:sz w:val="23"/>
        </w:rPr>
        <w:t>.</w:t>
      </w:r>
    </w:p>
    <w:p>
      <w:pPr>
        <w:pStyle w:val="Heading3"/>
      </w:pPr>
      <w:r>
        <w:t>S1.2 Geographic support and taxon-mean information loss</w:t>
      </w:r>
    </w:p>
    <w:p>
      <w:r>
        <w:rPr>
          <w:rFonts w:ascii="Times New Roman" w:hAnsi="Times New Roman" w:eastAsia="Times New Roman"/>
          <w:sz w:val="23"/>
        </w:rPr>
        <w:t xml:space="preserve">For each measured endpoint, </w:t>
      </w:r>
      <w:r>
        <w:rPr>
          <w:rFonts w:ascii="Consolas" w:hAnsi="Consolas" w:eastAsia="Consolas"/>
          <w:sz w:val="19"/>
        </w:rPr>
        <w:t>v2_full27_trait_geography.csv</w:t>
      </w:r>
      <w:r>
        <w:rPr>
          <w:rFonts w:ascii="Times New Roman" w:hAnsi="Times New Roman" w:eastAsia="Times New Roman"/>
          <w:sz w:val="23"/>
        </w:rPr>
        <w:t xml:space="preserve"> records geographic limits and occupied 5-degree cells. </w:t>
      </w:r>
      <w:r>
        <w:rPr>
          <w:rFonts w:ascii="Consolas" w:hAnsi="Consolas" w:eastAsia="Consolas"/>
          <w:sz w:val="19"/>
        </w:rPr>
        <w:t>v2_full27_variance_decomposition.csv</w:t>
      </w:r>
      <w:r>
        <w:rPr>
          <w:rFonts w:ascii="Times New Roman" w:hAnsi="Times New Roman" w:eastAsia="Times New Roman"/>
          <w:sz w:val="23"/>
        </w:rPr>
        <w:t xml:space="preserve"> reports the fraction of observation-level sums of squares below taxon means and 500 equal-replication resamples with two observations per eligible taxon. Missing measurements were not treated as zeros. The partitions describe visible image phenotypes rather than genetic variance or plasticity.</w:t>
      </w:r>
    </w:p>
    <w:p>
      <w:pPr>
        <w:pStyle w:val="Heading3"/>
      </w:pPr>
      <w:r>
        <w:t>S1.3 Environmental predictors</w:t>
      </w:r>
    </w:p>
    <w:p>
      <w:r>
        <w:rPr>
          <w:rFonts w:ascii="Times New Roman" w:hAnsi="Times New Roman" w:eastAsia="Times New Roman"/>
          <w:sz w:val="23"/>
        </w:rPr>
        <w:t>Nine predictors were frozen in six blocks: thermal (BIO1, BIO4), hydric (BIO12, BIO15), radiative/atmospheric (shortwave radiation, VPD), mechanical (wind), growing-season water input (GSP) and resource/productivity (potential NPP). Eight had complete coverage and wind had 99.989% coverage, exceeding the 98% gate. GSP was a climatic layer rather than species-specific flowering-season rain; NPP was modelled potential productivity rather than measured resources.</w:t>
      </w:r>
    </w:p>
    <w:p>
      <w:pPr>
        <w:pStyle w:val="Heading3"/>
      </w:pPr>
      <w:r>
        <w:t>S1.4 Within- and among-taxon models</w:t>
      </w:r>
    </w:p>
    <w:p>
      <w:r>
        <w:rPr>
          <w:rFonts w:ascii="Times New Roman" w:hAnsi="Times New Roman" w:eastAsia="Times New Roman"/>
          <w:sz w:val="23"/>
        </w:rPr>
        <w:t xml:space="preserve">Within-taxon models used taxon-demeaned standardized traits and predictors with taxon-clustered uncertainty. Among-taxon models used standardized taxon trait and environment medians with 9,999 taxon-label permutations. The primary among-taxon scope required five observations per taxon; minimum two formed a separately corrected sensitivity. Benjamini-Hochberg correction was applied once across all successful unit by predictor rows within each scope. Complete output, including unsupported and unexecuted rows, is in </w:t>
      </w:r>
      <w:r>
        <w:rPr>
          <w:rFonts w:ascii="Consolas" w:hAnsi="Consolas" w:eastAsia="Consolas"/>
          <w:sz w:val="19"/>
        </w:rPr>
        <w:t>v2_full27_environment_within.csv</w:t>
      </w:r>
      <w:r>
        <w:rPr>
          <w:rFonts w:ascii="Times New Roman" w:hAnsi="Times New Roman" w:eastAsia="Times New Roman"/>
          <w:sz w:val="23"/>
        </w:rPr>
        <w:t xml:space="preserve">, </w:t>
      </w:r>
      <w:r>
        <w:rPr>
          <w:rFonts w:ascii="Consolas" w:hAnsi="Consolas" w:eastAsia="Consolas"/>
          <w:sz w:val="19"/>
        </w:rPr>
        <w:t>v2_full27_environment_among.csv</w:t>
      </w:r>
      <w:r>
        <w:rPr>
          <w:rFonts w:ascii="Times New Roman" w:hAnsi="Times New Roman" w:eastAsia="Times New Roman"/>
          <w:sz w:val="23"/>
        </w:rPr>
        <w:t xml:space="preserve"> and </w:t>
      </w:r>
      <w:r>
        <w:rPr>
          <w:rFonts w:ascii="Consolas" w:hAnsi="Consolas" w:eastAsia="Consolas"/>
          <w:sz w:val="19"/>
        </w:rPr>
        <w:t>v2_full27_environment_cross_scale.csv</w:t>
      </w:r>
      <w:r>
        <w:rPr>
          <w:rFonts w:ascii="Times New Roman" w:hAnsi="Times New Roman" w:eastAsia="Times New Roman"/>
          <w:sz w:val="23"/>
        </w:rPr>
        <w:t>.</w:t>
      </w:r>
    </w:p>
    <w:p>
      <w:pPr>
        <w:pStyle w:val="Heading3"/>
      </w:pPr>
      <w:r>
        <w:t>S1.5 Sampling-composition sensitivity</w:t>
      </w:r>
    </w:p>
    <w:p>
      <w:r>
        <w:rPr>
          <w:rFonts w:ascii="Times New Roman" w:hAnsi="Times New Roman" w:eastAsia="Times New Roman"/>
          <w:sz w:val="23"/>
        </w:rPr>
        <w:t>All 26 within-taxon and ten among-taxon globally supported rows entered a retrospective direction-only audit. The declared perturbations were equal total weight per taxon for within-taxon rows, omission of each top-ten taxon and the top two jointly, omission of each of six broad regions, and a native-only restriction. All 674 scenarios were evaluable. Sixteen within-taxon and all ten among-taxon pairs retained direction in every applicable scenario. The audit did not calculate post-selection P values and does not correct the public-image data into a probability sample.</w:t>
      </w:r>
    </w:p>
    <w:p>
      <w:pPr>
        <w:pStyle w:val="Heading3"/>
      </w:pPr>
      <w:r>
        <w:t>S1.6 Broad-space sensitivity</w:t>
      </w:r>
    </w:p>
    <w:p>
      <w:r>
        <w:rPr>
          <w:rFonts w:ascii="Times New Roman" w:hAnsi="Times New Roman" w:eastAsia="Times New Roman"/>
          <w:sz w:val="23"/>
        </w:rPr>
        <w:t xml:space="preserve">Globally supported rows were refitted with a second-order spherical-coordinate basis. Passing required spatial P below 0.05, sign preservation for a linear endpoint and residual Moran P of at least 0.05. Five within-taxon and two among-taxon rows passed. Joint hue rows failed because residual spatial autocorrelation remained detectable. Full results are in </w:t>
      </w:r>
      <w:r>
        <w:rPr>
          <w:rFonts w:ascii="Consolas" w:hAnsi="Consolas" w:eastAsia="Consolas"/>
          <w:sz w:val="19"/>
        </w:rPr>
        <w:t>spatial/v2_full27_spatial_within.csv</w:t>
      </w:r>
      <w:r>
        <w:rPr>
          <w:rFonts w:ascii="Times New Roman" w:hAnsi="Times New Roman" w:eastAsia="Times New Roman"/>
          <w:sz w:val="23"/>
        </w:rPr>
        <w:t xml:space="preserve"> and </w:t>
      </w:r>
      <w:r>
        <w:rPr>
          <w:rFonts w:ascii="Consolas" w:hAnsi="Consolas" w:eastAsia="Consolas"/>
          <w:sz w:val="19"/>
        </w:rPr>
        <w:t>spatial/v2_full27_spatial_among.csv</w:t>
      </w:r>
      <w:r>
        <w:rPr>
          <w:rFonts w:ascii="Times New Roman" w:hAnsi="Times New Roman" w:eastAsia="Times New Roman"/>
          <w:sz w:val="23"/>
        </w:rPr>
        <w:t>.</w:t>
      </w:r>
    </w:p>
    <w:p>
      <w:pPr>
        <w:pStyle w:val="Heading3"/>
      </w:pPr>
      <w:r>
        <w:t>S1.7 Historical-placement sensitivity</w:t>
      </w:r>
    </w:p>
    <w:p>
      <w:r>
        <w:rPr>
          <w:rFonts w:ascii="Times New Roman" w:hAnsi="Times New Roman" w:eastAsia="Times New Roman"/>
          <w:sz w:val="23"/>
        </w:rPr>
        <w:t xml:space="preserve">The two spatially retained among-taxon rows were tested on 52 audited dated-backbone placement trees. Both retained direction and P below 0.05 on every tree. Only 54 historical-atlas taxa were direct backbone tips; most were within-genus placements. These results quantify stability to the tested placement uncertainty and do not constitute a resolved species-tree or network correction. Full model and summary tables are in </w:t>
      </w:r>
      <w:r>
        <w:rPr>
          <w:rFonts w:ascii="Consolas" w:hAnsi="Consolas" w:eastAsia="Consolas"/>
          <w:sz w:val="19"/>
        </w:rPr>
        <w:t>historical/v2_full27_historical_placement_models.csv</w:t>
      </w:r>
      <w:r>
        <w:rPr>
          <w:rFonts w:ascii="Times New Roman" w:hAnsi="Times New Roman" w:eastAsia="Times New Roman"/>
          <w:sz w:val="23"/>
        </w:rPr>
        <w:t xml:space="preserve"> and </w:t>
      </w:r>
      <w:r>
        <w:rPr>
          <w:rFonts w:ascii="Consolas" w:hAnsi="Consolas" w:eastAsia="Consolas"/>
          <w:sz w:val="19"/>
        </w:rPr>
        <w:t>historical/v2_full27_historical_placement_summary.csv</w:t>
      </w:r>
      <w:r>
        <w:rPr>
          <w:rFonts w:ascii="Times New Roman" w:hAnsi="Times New Roman" w:eastAsia="Times New Roman"/>
          <w:sz w:val="23"/>
        </w:rPr>
        <w:t>.</w:t>
      </w:r>
    </w:p>
    <w:p>
      <w:pPr>
        <w:pStyle w:val="Heading3"/>
      </w:pPr>
      <w:r>
        <w:t>S1.8 Interpretation limits</w:t>
      </w:r>
    </w:p>
    <w:p>
      <w:r>
        <w:rPr>
          <w:rFonts w:ascii="Times New Roman" w:hAnsi="Times New Roman" w:eastAsia="Times New Roman"/>
          <w:sz w:val="23"/>
        </w:rPr>
        <w:t>The analysis is retrospective exploratory. Directional stability is not causal evidence. Visible CIELAB chroma is not anthocyanin concentration or UV reflectance; EXIF image vertical is not gravity; and image-derived involucral or surface variables are not botanical spine, hair, gland or secretion measurements. The results do not establish phenotypic plasticity, local adaptation, selection, fitness benefit, independent origin or convergence.</w:t>
      </w:r>
    </w:p>
    <w:p>
      <w:pPr>
        <w:pStyle w:val="Heading2"/>
      </w:pPr>
      <w:r>
        <w:t>Supplementary data-file index</w:t>
      </w:r>
    </w:p>
    <w:p>
      <w:r>
        <w:rPr>
          <w:rFonts w:ascii="Times New Roman" w:hAnsi="Times New Roman" w:eastAsia="Times New Roman"/>
          <w:sz w:val="23"/>
        </w:rPr>
        <w:t xml:space="preserve">All files below are under </w:t>
      </w:r>
      <w:r>
        <w:rPr>
          <w:rFonts w:ascii="Consolas" w:hAnsi="Consolas" w:eastAsia="Consolas"/>
          <w:sz w:val="19"/>
        </w:rPr>
        <w:t>analysis_outputs/v2_full27_environment_atlas_2026-08-27/</w:t>
      </w:r>
      <w:r>
        <w:rPr>
          <w:rFonts w:ascii="Times New Roman" w:hAnsi="Times New Roman" w:eastAsia="Times New Roman"/>
          <w:sz w:val="23"/>
        </w:rPr>
        <w:t xml:space="preserve"> in the repository and in the submission bundle.</w:t>
      </w:r>
    </w:p>
    <w:p>
      <w:pPr>
        <w:pStyle w:val="ListBullet"/>
      </w:pPr>
      <w:r>
        <w:rPr>
          <w:rFonts w:ascii="Consolas" w:hAnsi="Consolas" w:eastAsia="Consolas"/>
          <w:sz w:val="19"/>
        </w:rPr>
        <w:t>v2_full27_endpoint_inventory.csv</w:t>
      </w:r>
      <w:r>
        <w:rPr>
          <w:rFonts w:ascii="Times New Roman" w:hAnsi="Times New Roman" w:eastAsia="Times New Roman"/>
          <w:sz w:val="23"/>
        </w:rPr>
        <w:t>: all 27 registered endpoint statuses.</w:t>
      </w:r>
    </w:p>
    <w:p>
      <w:pPr>
        <w:pStyle w:val="ListBullet"/>
      </w:pPr>
      <w:r>
        <w:rPr>
          <w:rFonts w:ascii="Consolas" w:hAnsi="Consolas" w:eastAsia="Consolas"/>
          <w:sz w:val="19"/>
        </w:rPr>
        <w:t>v2_full27_trait_geography.csv</w:t>
      </w:r>
      <w:r>
        <w:rPr>
          <w:rFonts w:ascii="Times New Roman" w:hAnsi="Times New Roman" w:eastAsia="Times New Roman"/>
          <w:sz w:val="23"/>
        </w:rPr>
        <w:t>: endpoint-specific geographic coverage.</w:t>
      </w:r>
    </w:p>
    <w:p>
      <w:pPr>
        <w:pStyle w:val="ListBullet"/>
      </w:pPr>
      <w:r>
        <w:rPr>
          <w:rFonts w:ascii="Consolas" w:hAnsi="Consolas" w:eastAsia="Consolas"/>
          <w:sz w:val="19"/>
        </w:rPr>
        <w:t>v2_full27_variance_decomposition.csv</w:t>
      </w:r>
      <w:r>
        <w:rPr>
          <w:rFonts w:ascii="Times New Roman" w:hAnsi="Times New Roman" w:eastAsia="Times New Roman"/>
          <w:sz w:val="23"/>
        </w:rPr>
        <w:t>: raw and equal-replication information-loss partitions.</w:t>
      </w:r>
    </w:p>
    <w:p>
      <w:pPr>
        <w:pStyle w:val="ListBullet"/>
      </w:pPr>
      <w:r>
        <w:rPr>
          <w:rFonts w:ascii="Consolas" w:hAnsi="Consolas" w:eastAsia="Consolas"/>
          <w:sz w:val="19"/>
        </w:rPr>
        <w:t>v2_full27_environment_within.csv</w:t>
      </w:r>
      <w:r>
        <w:rPr>
          <w:rFonts w:ascii="Times New Roman" w:hAnsi="Times New Roman" w:eastAsia="Times New Roman"/>
          <w:sz w:val="23"/>
        </w:rPr>
        <w:t>: complete within-taxon atlas.</w:t>
      </w:r>
    </w:p>
    <w:p>
      <w:pPr>
        <w:pStyle w:val="ListBullet"/>
      </w:pPr>
      <w:r>
        <w:rPr>
          <w:rFonts w:ascii="Consolas" w:hAnsi="Consolas" w:eastAsia="Consolas"/>
          <w:sz w:val="19"/>
        </w:rPr>
        <w:t>v2_full27_environment_among.csv</w:t>
      </w:r>
      <w:r>
        <w:rPr>
          <w:rFonts w:ascii="Times New Roman" w:hAnsi="Times New Roman" w:eastAsia="Times New Roman"/>
          <w:sz w:val="23"/>
        </w:rPr>
        <w:t>: complete among-taxon minimum-five and minimum-two atlases.</w:t>
      </w:r>
    </w:p>
    <w:p>
      <w:pPr>
        <w:pStyle w:val="ListBullet"/>
      </w:pPr>
      <w:r>
        <w:rPr>
          <w:rFonts w:ascii="Consolas" w:hAnsi="Consolas" w:eastAsia="Consolas"/>
          <w:sz w:val="19"/>
        </w:rPr>
        <w:t>v2_full27_environment_cross_scale.csv</w:t>
      </w:r>
      <w:r>
        <w:rPr>
          <w:rFonts w:ascii="Times New Roman" w:hAnsi="Times New Roman" w:eastAsia="Times New Roman"/>
          <w:sz w:val="23"/>
        </w:rPr>
        <w:t>: primary matched scale classification.</w:t>
      </w:r>
    </w:p>
    <w:p>
      <w:pPr>
        <w:pStyle w:val="ListBullet"/>
      </w:pPr>
      <w:r>
        <w:rPr>
          <w:rFonts w:ascii="Consolas" w:hAnsi="Consolas" w:eastAsia="Consolas"/>
          <w:sz w:val="19"/>
        </w:rPr>
        <w:t>sampling/v2_full27_sampling_composition_scenarios.csv</w:t>
      </w:r>
      <w:r>
        <w:rPr>
          <w:rFonts w:ascii="Times New Roman" w:hAnsi="Times New Roman" w:eastAsia="Times New Roman"/>
          <w:sz w:val="23"/>
        </w:rPr>
        <w:t>: all 674 perturbation rows.</w:t>
      </w:r>
    </w:p>
    <w:p>
      <w:pPr>
        <w:pStyle w:val="ListBullet"/>
      </w:pPr>
      <w:r>
        <w:rPr>
          <w:rFonts w:ascii="Consolas" w:hAnsi="Consolas" w:eastAsia="Consolas"/>
          <w:sz w:val="19"/>
        </w:rPr>
        <w:t>sampling/v2_full27_sampling_composition_summary.csv</w:t>
      </w:r>
      <w:r>
        <w:rPr>
          <w:rFonts w:ascii="Times New Roman" w:hAnsi="Times New Roman" w:eastAsia="Times New Roman"/>
          <w:sz w:val="23"/>
        </w:rPr>
        <w:t>: endpoint-level sampling stability.</w:t>
      </w:r>
    </w:p>
    <w:p>
      <w:pPr>
        <w:pStyle w:val="ListBullet"/>
      </w:pPr>
      <w:r>
        <w:rPr>
          <w:rFonts w:ascii="Consolas" w:hAnsi="Consolas" w:eastAsia="Consolas"/>
          <w:sz w:val="19"/>
        </w:rPr>
        <w:t>spatial/v2_full27_spatial_within.csv</w:t>
      </w:r>
      <w:r>
        <w:rPr>
          <w:rFonts w:ascii="Times New Roman" w:hAnsi="Times New Roman" w:eastAsia="Times New Roman"/>
          <w:sz w:val="23"/>
        </w:rPr>
        <w:t xml:space="preserve"> and </w:t>
      </w:r>
      <w:r>
        <w:rPr>
          <w:rFonts w:ascii="Consolas" w:hAnsi="Consolas" w:eastAsia="Consolas"/>
          <w:sz w:val="19"/>
        </w:rPr>
        <w:t>spatial/v2_full27_spatial_among.csv</w:t>
      </w:r>
      <w:r>
        <w:rPr>
          <w:rFonts w:ascii="Times New Roman" w:hAnsi="Times New Roman" w:eastAsia="Times New Roman"/>
          <w:sz w:val="23"/>
        </w:rPr>
        <w:t>: broad-space sensitivities.</w:t>
      </w:r>
    </w:p>
    <w:p>
      <w:pPr>
        <w:pStyle w:val="ListBullet"/>
      </w:pPr>
      <w:r>
        <w:rPr>
          <w:rFonts w:ascii="Consolas" w:hAnsi="Consolas" w:eastAsia="Consolas"/>
          <w:sz w:val="19"/>
        </w:rPr>
        <w:t>historical/v2_full27_historical_placement_models.csv</w:t>
      </w:r>
      <w:r>
        <w:rPr>
          <w:rFonts w:ascii="Times New Roman" w:hAnsi="Times New Roman" w:eastAsia="Times New Roman"/>
          <w:sz w:val="23"/>
        </w:rPr>
        <w:t xml:space="preserve"> and </w:t>
      </w:r>
      <w:r>
        <w:rPr>
          <w:rFonts w:ascii="Consolas" w:hAnsi="Consolas" w:eastAsia="Consolas"/>
          <w:sz w:val="19"/>
        </w:rPr>
        <w:t>historical/v2_full27_historical_placement_summary.csv</w:t>
      </w:r>
      <w:r>
        <w:rPr>
          <w:rFonts w:ascii="Times New Roman" w:hAnsi="Times New Roman" w:eastAsia="Times New Roman"/>
          <w:sz w:val="23"/>
        </w:rPr>
        <w:t>: 52-tree sensitivity.</w:t>
      </w:r>
    </w:p>
    <w:p>
      <w:pPr>
        <w:pStyle w:val="Heading2"/>
      </w:pPr>
      <w:r>
        <w:t>Supporting figure captions</w:t>
      </w:r>
    </w:p>
    <w:p>
      <w:r>
        <w:rPr>
          <w:rFonts w:ascii="Times New Roman" w:hAnsi="Times New Roman" w:eastAsia="Times New Roman"/>
          <w:b/>
          <w:sz w:val="23"/>
        </w:rPr>
        <w:t>Figure S1. Taxon-mean information loss across all measured endpoints.</w:t>
      </w:r>
      <w:r>
        <w:rPr>
          <w:rFonts w:ascii="Times New Roman" w:hAnsi="Times New Roman" w:eastAsia="Times New Roman"/>
          <w:sz w:val="23"/>
        </w:rPr>
        <w:t xml:space="preserve"> Raw observation-level and equal-replication fractions below source-assigned taxon means. Values describe visible image phenotypes.</w:t>
      </w:r>
    </w:p>
    <w:p>
      <w:r>
        <w:rPr>
          <w:rFonts w:ascii="Times New Roman" w:hAnsi="Times New Roman" w:eastAsia="Times New Roman"/>
          <w:b/>
          <w:sz w:val="23"/>
        </w:rPr>
        <w:t>Figure S2. Endpoint by environmental-gradient support at within- and among-taxon scales.</w:t>
      </w:r>
      <w:r>
        <w:rPr>
          <w:rFonts w:ascii="Times New Roman" w:hAnsi="Times New Roman" w:eastAsia="Times New Roman"/>
          <w:sz w:val="23"/>
        </w:rPr>
        <w:t xml:space="preserve"> Every registered inferential unit is retained; unsupported and unexecuted combinations remain visible.</w:t>
      </w:r>
    </w:p>
    <w:p>
      <w:r>
        <w:rPr>
          <w:rFonts w:ascii="Times New Roman" w:hAnsi="Times New Roman" w:eastAsia="Times New Roman"/>
          <w:b/>
          <w:sz w:val="23"/>
        </w:rPr>
        <w:t>Figure S3. Sequential robustness of the two final candidates.</w:t>
      </w:r>
      <w:r>
        <w:rPr>
          <w:rFonts w:ascii="Times New Roman" w:hAnsi="Times New Roman" w:eastAsia="Times New Roman"/>
          <w:sz w:val="23"/>
        </w:rPr>
        <w:t xml:space="preserve"> Global among-taxon, broad-space, sampling-composition and 52-tree placement evidence for chroma-radiation and orientation-annual-precipitation. The display summarizes robustness, not causal adaptation.</w:t>
      </w:r>
    </w:p>
    <w:p>
      <w:r>
        <w:br w:type="page"/>
      </w:r>
    </w:p>
    <w:p>
      <w:pPr>
        <w:pStyle w:val="Heading1"/>
      </w:pPr>
      <w:r>
        <w:t>Supporting figures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552695"/>
            <wp:docPr id="1" name="Picture 1" descr="Raw and equal-replication fractions of visible variation below taxon means for all measured endpoints." title="Raw and equal-replication fractions of visible variation below taxon means for all measured endpoint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2_v2_taxon_mean_information_los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5526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Times New Roman" w:hAnsi="Times New Roman" w:eastAsia="Times New Roman"/>
          <w:b/>
          <w:sz w:val="20"/>
        </w:rPr>
        <w:t>Figure S1. Taxon-mean information loss across all 22 measured endpoints.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5107690"/>
            <wp:docPr id="2" name="Picture 2" descr="Complete heat map retaining supported, unsupported and not-comparable endpoint-gradient rows." title="Complete heat map retaining supported, unsupported and not-comparable endpoint-gradient row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3_v2_within_among_scale_atla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107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Times New Roman" w:hAnsi="Times New Roman" w:eastAsia="Times New Roman"/>
          <w:b/>
          <w:sz w:val="20"/>
        </w:rPr>
        <w:t>Figure S2. Complete within- and among-taxon endpoint-gradient classification.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554056"/>
            <wp:docPr id="3" name="Picture 3" descr="Robustness summary for chroma-radiation and orientation-annual-precipitation, both passing 52 placement trees." title="Robustness summary for chroma-radiation and orientation-annual-precipitation, both passing 52 placement tre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4_v2_candidate_robustnes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54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Times New Roman" w:hAnsi="Times New Roman" w:eastAsia="Times New Roman"/>
          <w:b/>
          <w:sz w:val="20"/>
        </w:rPr>
        <w:t>Figure S3. Sampling, broad-space and historical-placement robustness of the two candidates.</w:t>
      </w:r>
    </w:p>
    <w:sectPr>
      <w:footerReference w:type="default" r:id="rId12"/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100"/>
    </w:pPr>
    <w:rPr>
      <w:rFonts w:ascii="Times New Roman" w:hAnsi="Times New Roman" w:eastAsia="Times New Roman"/>
      <w:b w:val="0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Blinded submission candidate; scientific HOLD retained.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