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1 narrative stage</w:t>
            </w:r>
          </w:p>
        </w:tc>
        <w:tc>
          <w:tcPr/>
          <w:p>
            <w:pPr>
              <w:pStyle w:val="Compact"/>
              <w:jc w:val="left"/>
            </w:pPr>
            <w:r>
              <w:t xml:space="preserve">Existing source analysis</w:t>
            </w:r>
          </w:p>
        </w:tc>
        <w:tc>
          <w:tcPr/>
          <w:p>
            <w:pPr>
              <w:pStyle w:val="Compact"/>
              <w:jc w:val="left"/>
            </w:pPr>
            <w:r>
              <w:t xml:space="preserve">Main evidence; what the SI retains</w:t>
            </w:r>
          </w:p>
        </w:tc>
      </w:tr>
      <w:tr>
        <w:tc>
          <w:tcPr/>
          <w:p>
            <w:pPr>
              <w:pStyle w:val="Compact"/>
              <w:jc w:val="left"/>
            </w:pPr>
            <w:r>
              <w:t xml:space="preserve">1. Ecological constraint</w:t>
            </w:r>
          </w:p>
        </w:tc>
        <w:tc>
          <w:tcPr/>
          <w:p>
            <w:pPr>
              <w:pStyle w:val="Compact"/>
              <w:jc w:val="left"/>
            </w:pPr>
            <w:r>
              <w:t xml:space="preserve">original H3</w:t>
            </w:r>
          </w:p>
        </w:tc>
        <w:tc>
          <w:tcPr/>
          <w:p>
            <w:pPr>
              <w:pStyle w:val="Compact"/>
              <w:jc w:val="left"/>
            </w:pPr>
            <w:r>
              <w:t xml:space="preserve">GloPL site-level isolation–PL coefficient; details and null sensitivities in S5</w:t>
            </w:r>
          </w:p>
        </w:tc>
      </w:tr>
      <w:tr>
        <w:tc>
          <w:tcPr/>
          <w:p>
            <w:pPr>
              <w:pStyle w:val="Compact"/>
              <w:jc w:val="left"/>
            </w:pPr>
            <w:r>
              <w:t xml:space="preserve">2A. Reproductive and floral patterns</w:t>
            </w:r>
          </w:p>
        </w:tc>
        <w:tc>
          <w:tcPr/>
          <w:p>
            <w:pPr>
              <w:pStyle w:val="Compact"/>
              <w:jc w:val="left"/>
            </w:pPr>
            <w:r>
              <w:t xml:space="preserve">original H1</w:t>
            </w:r>
          </w:p>
        </w:tc>
        <w:tc>
          <w:tcPr/>
          <w:p>
            <w:pPr>
              <w:pStyle w:val="Compact"/>
              <w:jc w:val="left"/>
            </w:pPr>
            <w:r>
              <w:t xml:space="preserve">Seven independent atomic traits × four regions; full denominators, pointwise tests and provenance scopes in S3</w:t>
            </w:r>
          </w:p>
        </w:tc>
      </w:tr>
      <w:tr>
        <w:tc>
          <w:tcPr/>
          <w:p>
            <w:pPr>
              <w:pStyle w:val="Compact"/>
              <w:jc w:val="left"/>
            </w:pPr>
            <w:r>
              <w:t xml:space="preserve">2B. Selfing-conditioned floral responses</w:t>
            </w:r>
          </w:p>
        </w:tc>
        <w:tc>
          <w:tcPr/>
          <w:p>
            <w:pPr>
              <w:pStyle w:val="Compact"/>
              <w:jc w:val="left"/>
            </w:pPr>
            <w:r>
              <w:t xml:space="preserve">original H2</w:t>
            </w:r>
          </w:p>
        </w:tc>
        <w:tc>
          <w:tcPr/>
          <w:p>
            <w:pPr>
              <w:pStyle w:val="Compact"/>
              <w:jc w:val="left"/>
            </w:pPr>
            <w:r>
              <w:rPr>
                <w:rStyle w:val="VerbatimChar"/>
              </w:rPr>
              <w:t xml:space="preserve">F ~ D + selfing_core + area + climate</w:t>
            </w:r>
            <w:r>
              <w:t xml:space="preserve">, treated as conditional statistical decomposition; full direct/All and raw colour–architecture checks in S4</w:t>
            </w:r>
          </w:p>
        </w:tc>
      </w:tr>
      <w:tr>
        <w:tc>
          <w:tcPr/>
          <w:p>
            <w:pPr>
              <w:pStyle w:val="Compact"/>
              <w:jc w:val="left"/>
            </w:pPr>
            <w:r>
              <w:t xml:space="preserve">3. Functional compatibility</w:t>
            </w:r>
          </w:p>
        </w:tc>
        <w:tc>
          <w:tcPr/>
          <w:p>
            <w:pPr>
              <w:pStyle w:val="Compact"/>
              <w:jc w:val="left"/>
            </w:pPr>
            <w:r>
              <w:t xml:space="preserve">original H4</w:t>
            </w:r>
          </w:p>
        </w:tc>
        <w:tc>
          <w:tcPr/>
          <w:p>
            <w:pPr>
              <w:pStyle w:val="Compact"/>
              <w:jc w:val="left"/>
            </w:pPr>
            <w: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right"/>
            </w:pPr>
            <w:r>
              <w:t xml:space="preserve">Corrected value</w:t>
            </w:r>
          </w:p>
        </w:tc>
      </w:tr>
      <w:tr>
        <w:tc>
          <w:tcPr/>
          <w:p>
            <w:pPr>
              <w:pStyle w:val="Compact"/>
              <w:jc w:val="left"/>
            </w:pPr>
            <w:r>
              <w:t xml:space="preserve">Global island units</w:t>
            </w:r>
          </w:p>
        </w:tc>
        <w:tc>
          <w:tcPr/>
          <w:p>
            <w:pPr>
              <w:pStyle w:val="Compact"/>
              <w:jc w:val="right"/>
            </w:pPr>
            <w:r>
              <w:t xml:space="preserve">8,264</w:t>
            </w:r>
          </w:p>
        </w:tc>
      </w:tr>
      <w:tr>
        <w:tc>
          <w:tcPr/>
          <w:p>
            <w:pPr>
              <w:pStyle w:val="Compact"/>
              <w:jc w:val="left"/>
            </w:pPr>
            <w:r>
              <w:t xml:space="preserve">Broad H1 union</w:t>
            </w:r>
          </w:p>
        </w:tc>
        <w:tc>
          <w:tcPr/>
          <w:p>
            <w:pPr>
              <w:pStyle w:val="Compact"/>
              <w:jc w:val="right"/>
            </w:pPr>
            <w:r>
              <w:t xml:space="preserve">4,379</w:t>
            </w:r>
          </w:p>
        </w:tc>
      </w:tr>
      <w:tr>
        <w:tc>
          <w:tcPr/>
          <w:p>
            <w:pPr>
              <w:pStyle w:val="Compact"/>
              <w:jc w:val="left"/>
            </w:pPr>
            <w:r>
              <w:t xml:space="preserve">Accepted angiosperm species</w:t>
            </w:r>
          </w:p>
        </w:tc>
        <w:tc>
          <w:tcPr/>
          <w:p>
            <w:pPr>
              <w:pStyle w:val="Compact"/>
              <w:jc w:val="right"/>
            </w:pPr>
            <w:r>
              <w:t xml:space="preserve">106,295</w:t>
            </w:r>
          </w:p>
        </w:tc>
      </w:tr>
      <w:tr>
        <w:tc>
          <w:tcPr/>
          <w:p>
            <w:pPr>
              <w:pStyle w:val="Compact"/>
              <w:jc w:val="left"/>
            </w:pPr>
            <w:r>
              <w:t xml:space="preserve">Possible species × axis cells</w:t>
            </w:r>
          </w:p>
        </w:tc>
        <w:tc>
          <w:tcPr/>
          <w:p>
            <w:pPr>
              <w:pStyle w:val="Compact"/>
              <w:jc w:val="right"/>
            </w:pPr>
            <w:r>
              <w:t xml:space="preserve">318,885</w:t>
            </w:r>
          </w:p>
        </w:tc>
      </w:tr>
      <w:tr>
        <w:tc>
          <w:tcPr/>
          <w:p>
            <w:pPr>
              <w:pStyle w:val="Compact"/>
              <w:jc w:val="left"/>
            </w:pPr>
            <w:r>
              <w:t xml:space="preserve">Resolved species × axis cells</w:t>
            </w:r>
          </w:p>
        </w:tc>
        <w:tc>
          <w:tcPr/>
          <w:p>
            <w:pPr>
              <w:pStyle w:val="Compact"/>
              <w:jc w:val="right"/>
            </w:pPr>
            <w:r>
              <w:t xml:space="preserve">222,688</w:t>
            </w:r>
          </w:p>
        </w:tc>
      </w:tr>
      <w:tr>
        <w:tc>
          <w:tcPr/>
          <w:p>
            <w:pPr>
              <w:pStyle w:val="Compact"/>
              <w:jc w:val="left"/>
            </w:pPr>
            <w:r>
              <w:t xml:space="preserve">GloPL experimental rows</w:t>
            </w:r>
          </w:p>
        </w:tc>
        <w:tc>
          <w:tcPr/>
          <w:p>
            <w:pPr>
              <w:pStyle w:val="Compact"/>
              <w:jc w:val="right"/>
            </w:pPr>
            <w:r>
              <w:t xml:space="preserve">2,969</w:t>
            </w:r>
          </w:p>
        </w:tc>
      </w:tr>
      <w:tr>
        <w:tc>
          <w:tcPr/>
          <w:p>
            <w:pPr>
              <w:pStyle w:val="Compact"/>
              <w:jc w:val="left"/>
            </w:pPr>
            <w:r>
              <w:t xml:space="preserve">GloPL measurement cells</w:t>
            </w:r>
          </w:p>
        </w:tc>
        <w:tc>
          <w:tcPr/>
          <w:p>
            <w:pPr>
              <w:pStyle w:val="Compact"/>
              <w:jc w:val="right"/>
            </w:pPr>
            <w:r>
              <w:t xml:space="preserve">1,408</w:t>
            </w:r>
          </w:p>
        </w:tc>
      </w:tr>
      <w:tr>
        <w:tc>
          <w:tcPr/>
          <w:p>
            <w:pPr>
              <w:pStyle w:val="Compact"/>
              <w:jc w:val="left"/>
            </w:pPr>
            <w:r>
              <w:t xml:space="preserve">GloPL unique sites</w:t>
            </w:r>
          </w:p>
        </w:tc>
        <w:tc>
          <w:tcPr/>
          <w:p>
            <w:pPr>
              <w:pStyle w:val="Compact"/>
              <w:jc w:val="right"/>
            </w:pPr>
            <w:r>
              <w:t xml:space="preserve">1,248</w:t>
            </w:r>
          </w:p>
        </w:tc>
      </w:tr>
      <w:tr>
        <w:tc>
          <w:tcPr/>
          <w:p>
            <w:pPr>
              <w:pStyle w:val="Compact"/>
              <w:jc w:val="left"/>
            </w:pPr>
            <w:r>
              <w:t xml:space="preserve">GloPL publications</w:t>
            </w:r>
          </w:p>
        </w:tc>
        <w:tc>
          <w:tcPr/>
          <w:p>
            <w:pPr>
              <w:pStyle w:val="Compact"/>
              <w:jc w:val="right"/>
            </w:pPr>
            <w:r>
              <w:t xml:space="preserve">919</w:t>
            </w:r>
          </w:p>
        </w:tc>
      </w:tr>
      <w:tr>
        <w:tc>
          <w:tcPr/>
          <w:p>
            <w:pPr>
              <w:pStyle w:val="Compact"/>
              <w:jc w:val="left"/>
            </w:pPr>
            <w:r>
              <w:t xml:space="preserve">True continental GloPL zero-distance sites</w:t>
            </w:r>
          </w:p>
        </w:tc>
        <w:tc>
          <w:tcPr/>
          <w:p>
            <w:pPr>
              <w:pStyle w:val="Compact"/>
              <w:jc w:val="right"/>
            </w:pPr>
            <w: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Region</w:t>
            </w:r>
          </w:p>
        </w:tc>
        <w:tc>
          <w:tcPr/>
          <w:p>
            <w:pPr>
              <w:pStyle w:val="Compact"/>
              <w:jc w:val="right"/>
            </w:pPr>
            <w:r>
              <w:t xml:space="preserve">All-analysis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c>
          <w:tcPr/>
          <w:p>
            <w:pPr>
              <w:pStyle w:val="Compact"/>
              <w:jc w:val="right"/>
            </w:pPr>
            <w:r>
              <w:t xml:space="preserve">Direct-only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0.02068</w:t>
            </w:r>
          </w:p>
        </w:tc>
        <w:tc>
          <w:tcPr/>
          <w:p>
            <w:pPr>
              <w:pStyle w:val="Compact"/>
              <w:jc w:val="right"/>
            </w:pPr>
            <w:r>
              <w:t xml:space="preserve">0.01281</w:t>
            </w:r>
          </w:p>
        </w:tc>
        <w:tc>
          <w:tcPr/>
          <w:p>
            <w:pPr>
              <w:pStyle w:val="Compact"/>
              <w:jc w:val="right"/>
            </w:pPr>
            <w:r>
              <w:t xml:space="preserve">0.1103</w:t>
            </w:r>
          </w:p>
        </w:tc>
        <w:tc>
          <w:tcPr/>
          <w:p>
            <w:pPr>
              <w:pStyle w:val="Compact"/>
              <w:jc w:val="right"/>
            </w:pPr>
            <w:r>
              <w:t xml:space="preserve">0.1764</w:t>
            </w:r>
          </w:p>
        </w:tc>
        <w:tc>
          <w:tcPr/>
          <w:p>
            <w:pPr>
              <w:pStyle w:val="Compact"/>
              <w:jc w:val="right"/>
            </w:pPr>
            <w:r>
              <w:t xml:space="preserve">0.01715</w:t>
            </w:r>
          </w:p>
        </w:tc>
        <w:tc>
          <w:tcPr/>
          <w:p>
            <w:pPr>
              <w:pStyle w:val="Compact"/>
              <w:jc w:val="right"/>
            </w:pPr>
            <w:r>
              <w:t xml:space="preserve">0.01144</w:t>
            </w:r>
          </w:p>
        </w:tc>
        <w:tc>
          <w:tcPr/>
          <w:p>
            <w:pPr>
              <w:pStyle w:val="Compact"/>
              <w:jc w:val="right"/>
            </w:pPr>
            <w:r>
              <w:t xml:space="preserve">0.1378</w:t>
            </w:r>
          </w:p>
        </w:tc>
        <w:tc>
          <w:tcPr/>
          <w:p>
            <w:pPr>
              <w:pStyle w:val="Compact"/>
              <w:jc w:val="right"/>
            </w:pPr>
            <w:r>
              <w:t xml:space="preserve">0.2205</w:t>
            </w:r>
          </w:p>
        </w:tc>
      </w:tr>
      <w:tr>
        <w:tc>
          <w:tcPr/>
          <w:p>
            <w:pPr>
              <w:pStyle w:val="Compact"/>
              <w:jc w:val="left"/>
            </w:pPr>
            <w:r>
              <w:t xml:space="preserve">Northern high latitude</w:t>
            </w:r>
          </w:p>
        </w:tc>
        <w:tc>
          <w:tcPr/>
          <w:p>
            <w:pPr>
              <w:pStyle w:val="Compact"/>
              <w:jc w:val="right"/>
            </w:pPr>
            <w:r>
              <w:t xml:space="preserve">0.12557</w:t>
            </w:r>
          </w:p>
        </w:tc>
        <w:tc>
          <w:tcPr/>
          <w:p>
            <w:pPr>
              <w:pStyle w:val="Compact"/>
              <w:jc w:val="right"/>
            </w:pPr>
            <w:r>
              <w:t xml:space="preserve">0.03390</w:t>
            </w:r>
          </w:p>
        </w:tc>
        <w:tc>
          <w:tcPr/>
          <w:p>
            <w:pPr>
              <w:pStyle w:val="Compact"/>
              <w:jc w:val="right"/>
            </w:pPr>
            <w:r>
              <w:t xml:space="preserve">0.000474</w:t>
            </w:r>
          </w:p>
        </w:tc>
        <w:tc>
          <w:tcPr/>
          <w:p>
            <w:pPr>
              <w:pStyle w:val="Compact"/>
              <w:jc w:val="right"/>
            </w:pPr>
            <w:r>
              <w:t xml:space="preserve">0.00243</w:t>
            </w:r>
          </w:p>
        </w:tc>
        <w:tc>
          <w:tcPr/>
          <w:p>
            <w:pPr>
              <w:pStyle w:val="Compact"/>
              <w:jc w:val="right"/>
            </w:pPr>
            <w:r>
              <w:t xml:space="preserve">0.11657</w:t>
            </w:r>
          </w:p>
        </w:tc>
        <w:tc>
          <w:tcPr/>
          <w:p>
            <w:pPr>
              <w:pStyle w:val="Compact"/>
              <w:jc w:val="right"/>
            </w:pPr>
            <w:r>
              <w:t xml:space="preserve">0.03716</w:t>
            </w:r>
          </w:p>
        </w:tc>
        <w:tc>
          <w:tcPr/>
          <w:p>
            <w:pPr>
              <w:pStyle w:val="Compact"/>
              <w:jc w:val="right"/>
            </w:pPr>
            <w:r>
              <w:t xml:space="preserve">0.002744</w:t>
            </w:r>
          </w:p>
        </w:tc>
        <w:tc>
          <w:tcPr/>
          <w:p>
            <w:pPr>
              <w:pStyle w:val="Compact"/>
              <w:jc w:val="right"/>
            </w:pPr>
            <w:r>
              <w:t xml:space="preserve">0.01097</w:t>
            </w:r>
          </w:p>
        </w:tc>
      </w:tr>
      <w:tr>
        <w:tc>
          <w:tcPr/>
          <w:p>
            <w:pPr>
              <w:pStyle w:val="Compact"/>
              <w:jc w:val="left"/>
            </w:pPr>
            <w:r>
              <w:t xml:space="preserve">Tropical</w:t>
            </w:r>
          </w:p>
        </w:tc>
        <w:tc>
          <w:tcPr/>
          <w:p>
            <w:pPr>
              <w:pStyle w:val="Compact"/>
              <w:jc w:val="right"/>
            </w:pPr>
            <w:r>
              <w:t xml:space="preserve">0.06846</w:t>
            </w:r>
          </w:p>
        </w:tc>
        <w:tc>
          <w:tcPr/>
          <w:p>
            <w:pPr>
              <w:pStyle w:val="Compact"/>
              <w:jc w:val="right"/>
            </w:pPr>
            <w:r>
              <w:t xml:space="preserve">0.02494</w:t>
            </w:r>
          </w:p>
        </w:tc>
        <w:tc>
          <w:tcPr/>
          <w:p>
            <w:pPr>
              <w:pStyle w:val="Compact"/>
              <w:jc w:val="right"/>
            </w:pPr>
            <w:r>
              <w:t xml:space="preserve">0.007174</w:t>
            </w:r>
          </w:p>
        </w:tc>
        <w:tc>
          <w:tcPr/>
          <w:p>
            <w:pPr>
              <w:pStyle w:val="Compact"/>
              <w:jc w:val="right"/>
            </w:pPr>
            <w:r>
              <w:t xml:space="preserve">0.01913</w:t>
            </w:r>
          </w:p>
        </w:tc>
        <w:tc>
          <w:tcPr/>
          <w:p>
            <w:pPr>
              <w:pStyle w:val="Compact"/>
              <w:jc w:val="right"/>
            </w:pPr>
            <w:r>
              <w:t xml:space="preserve">0.05249</w:t>
            </w:r>
          </w:p>
        </w:tc>
        <w:tc>
          <w:tcPr/>
          <w:p>
            <w:pPr>
              <w:pStyle w:val="Compact"/>
              <w:jc w:val="right"/>
            </w:pPr>
            <w:r>
              <w:t xml:space="preserve">0.02616</w:t>
            </w:r>
          </w:p>
        </w:tc>
        <w:tc>
          <w:tcPr/>
          <w:p>
            <w:pPr>
              <w:pStyle w:val="Compact"/>
              <w:jc w:val="right"/>
            </w:pPr>
            <w:r>
              <w:t xml:space="preserve">0.04751</w:t>
            </w:r>
          </w:p>
        </w:tc>
        <w:tc>
          <w:tcPr/>
          <w:p>
            <w:pPr>
              <w:pStyle w:val="Compact"/>
              <w:jc w:val="right"/>
            </w:pPr>
            <w:r>
              <w:t xml:space="preserve">0.1267</w:t>
            </w:r>
          </w:p>
        </w:tc>
      </w:tr>
      <w:tr>
        <w:tc>
          <w:tcPr/>
          <w:p>
            <w:pPr>
              <w:pStyle w:val="Compact"/>
              <w:jc w:val="left"/>
            </w:pPr>
            <w:r>
              <w:t xml:space="preserve">Southern extratropical</w:t>
            </w:r>
          </w:p>
        </w:tc>
        <w:tc>
          <w:tcPr/>
          <w:p>
            <w:pPr>
              <w:pStyle w:val="Compact"/>
              <w:jc w:val="right"/>
            </w:pPr>
            <w:r>
              <w:t xml:space="preserve">0.04929</w:t>
            </w:r>
          </w:p>
        </w:tc>
        <w:tc>
          <w:tcPr/>
          <w:p>
            <w:pPr>
              <w:pStyle w:val="Compact"/>
              <w:jc w:val="right"/>
            </w:pPr>
            <w:r>
              <w:t xml:space="preserve">0.03979</w:t>
            </w:r>
          </w:p>
        </w:tc>
        <w:tc>
          <w:tcPr/>
          <w:p>
            <w:pPr>
              <w:pStyle w:val="Compact"/>
              <w:jc w:val="right"/>
            </w:pPr>
            <w:r>
              <w:t xml:space="preserve">0.2232</w:t>
            </w:r>
          </w:p>
        </w:tc>
        <w:tc>
          <w:tcPr/>
          <w:p>
            <w:pPr>
              <w:pStyle w:val="Compact"/>
              <w:jc w:val="right"/>
            </w:pPr>
            <w:r>
              <w:t xml:space="preserve">0.2977</w:t>
            </w:r>
          </w:p>
        </w:tc>
        <w:tc>
          <w:tcPr/>
          <w:p>
            <w:pPr>
              <w:pStyle w:val="Compact"/>
              <w:jc w:val="right"/>
            </w:pPr>
            <w:r>
              <w:t xml:space="preserve">0.05779</w:t>
            </w:r>
          </w:p>
        </w:tc>
        <w:tc>
          <w:tcPr/>
          <w:p>
            <w:pPr>
              <w:pStyle w:val="Compact"/>
              <w:jc w:val="right"/>
            </w:pPr>
            <w:r>
              <w:t xml:space="preserve">0.03473</w:t>
            </w:r>
          </w:p>
        </w:tc>
        <w:tc>
          <w:tcPr/>
          <w:p>
            <w:pPr>
              <w:pStyle w:val="Compact"/>
              <w:jc w:val="right"/>
            </w:pPr>
            <w:r>
              <w:t xml:space="preserve">0.1046</w:t>
            </w:r>
          </w:p>
        </w:tc>
        <w:tc>
          <w:tcPr/>
          <w:p>
            <w:pPr>
              <w:pStyle w:val="Compact"/>
              <w:jc w:val="right"/>
            </w:pPr>
            <w: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right"/>
            </w:pPr>
            <w:r>
              <w:t xml:space="preserve">Complete-score islands</w:t>
            </w:r>
          </w:p>
        </w:tc>
        <w:tc>
          <w:tcPr/>
          <w:p>
            <w:pPr>
              <w:pStyle w:val="Compact"/>
              <w:jc w:val="right"/>
            </w:pPr>
            <w:r>
              <w:t xml:space="preserve">β isolation</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1,725</w:t>
            </w:r>
          </w:p>
        </w:tc>
        <w:tc>
          <w:tcPr/>
          <w:p>
            <w:pPr>
              <w:pStyle w:val="Compact"/>
              <w:jc w:val="right"/>
            </w:pPr>
            <w:r>
              <w:t xml:space="preserve">0.02296</w:t>
            </w:r>
          </w:p>
        </w:tc>
        <w:tc>
          <w:tcPr/>
          <w:p>
            <w:pPr>
              <w:pStyle w:val="Compact"/>
              <w:jc w:val="right"/>
            </w:pPr>
            <w:r>
              <w:t xml:space="preserve">0.01107</w:t>
            </w:r>
          </w:p>
        </w:tc>
        <w:tc>
          <w:tcPr/>
          <w:p>
            <w:pPr>
              <w:pStyle w:val="Compact"/>
              <w:jc w:val="right"/>
            </w:pPr>
            <w:r>
              <w:t xml:space="preserve">0.03812</w:t>
            </w:r>
          </w:p>
        </w:tc>
        <w:tc>
          <w:tcPr/>
          <w:p>
            <w:pPr>
              <w:pStyle w:val="Compact"/>
              <w:jc w:val="right"/>
            </w:pPr>
            <w:r>
              <w:t xml:space="preserve">0.05082</w:t>
            </w:r>
          </w:p>
        </w:tc>
      </w:tr>
      <w:tr>
        <w:tc>
          <w:tcPr/>
          <w:p>
            <w:pPr>
              <w:pStyle w:val="Compact"/>
              <w:jc w:val="left"/>
            </w:pPr>
            <w:r>
              <w:t xml:space="preserve">Northern high latitude</w:t>
            </w:r>
          </w:p>
        </w:tc>
        <w:tc>
          <w:tcPr/>
          <w:p>
            <w:pPr>
              <w:pStyle w:val="Compact"/>
              <w:jc w:val="right"/>
            </w:pPr>
            <w:r>
              <w:t xml:space="preserve">221</w:t>
            </w:r>
          </w:p>
        </w:tc>
        <w:tc>
          <w:tcPr/>
          <w:p>
            <w:pPr>
              <w:pStyle w:val="Compact"/>
              <w:jc w:val="right"/>
            </w:pPr>
            <w:r>
              <w:t xml:space="preserve">0.08508</w:t>
            </w:r>
          </w:p>
        </w:tc>
        <w:tc>
          <w:tcPr/>
          <w:p>
            <w:pPr>
              <w:pStyle w:val="Compact"/>
              <w:jc w:val="right"/>
            </w:pPr>
            <w:r>
              <w:t xml:space="preserve">0.03433</w:t>
            </w:r>
          </w:p>
        </w:tc>
        <w:tc>
          <w:tcPr/>
          <w:p>
            <w:pPr>
              <w:pStyle w:val="Compact"/>
              <w:jc w:val="right"/>
            </w:pPr>
            <w:r>
              <w:t xml:space="preserve">0.01321</w:t>
            </w:r>
          </w:p>
        </w:tc>
        <w:tc>
          <w:tcPr/>
          <w:p>
            <w:pPr>
              <w:pStyle w:val="Compact"/>
              <w:jc w:val="right"/>
            </w:pPr>
            <w:r>
              <w:t xml:space="preserve">0.03759</w:t>
            </w:r>
          </w:p>
        </w:tc>
      </w:tr>
      <w:tr>
        <w:tc>
          <w:tcPr/>
          <w:p>
            <w:pPr>
              <w:pStyle w:val="Compact"/>
              <w:jc w:val="left"/>
            </w:pPr>
            <w:r>
              <w:t xml:space="preserve">Tropical</w:t>
            </w:r>
          </w:p>
        </w:tc>
        <w:tc>
          <w:tcPr/>
          <w:p>
            <w:pPr>
              <w:pStyle w:val="Compact"/>
              <w:jc w:val="right"/>
            </w:pPr>
            <w:r>
              <w:t xml:space="preserve">438</w:t>
            </w:r>
          </w:p>
        </w:tc>
        <w:tc>
          <w:tcPr/>
          <w:p>
            <w:pPr>
              <w:pStyle w:val="Compact"/>
              <w:jc w:val="right"/>
            </w:pPr>
            <w:r>
              <w:t xml:space="preserve">0.05058</w:t>
            </w:r>
          </w:p>
        </w:tc>
        <w:tc>
          <w:tcPr/>
          <w:p>
            <w:pPr>
              <w:pStyle w:val="Compact"/>
              <w:jc w:val="right"/>
            </w:pPr>
            <w:r>
              <w:t xml:space="preserve">0.02153</w:t>
            </w:r>
          </w:p>
        </w:tc>
        <w:tc>
          <w:tcPr/>
          <w:p>
            <w:pPr>
              <w:pStyle w:val="Compact"/>
              <w:jc w:val="right"/>
            </w:pPr>
            <w:r>
              <w:t xml:space="preserve">0.01880</w:t>
            </w:r>
          </w:p>
        </w:tc>
        <w:tc>
          <w:tcPr/>
          <w:p>
            <w:pPr>
              <w:pStyle w:val="Compact"/>
              <w:jc w:val="right"/>
            </w:pPr>
            <w:r>
              <w:t xml:space="preserve">0.03759</w:t>
            </w:r>
          </w:p>
        </w:tc>
      </w:tr>
      <w:tr>
        <w:tc>
          <w:tcPr/>
          <w:p>
            <w:pPr>
              <w:pStyle w:val="Compact"/>
              <w:jc w:val="left"/>
            </w:pPr>
            <w:r>
              <w:t xml:space="preserve">Southern extratropical</w:t>
            </w:r>
          </w:p>
        </w:tc>
        <w:tc>
          <w:tcPr/>
          <w:p>
            <w:pPr>
              <w:pStyle w:val="Compact"/>
              <w:jc w:val="right"/>
            </w:pPr>
            <w:r>
              <w:t xml:space="preserve">157</w:t>
            </w:r>
          </w:p>
        </w:tc>
        <w:tc>
          <w:tcPr/>
          <w:p>
            <w:pPr>
              <w:pStyle w:val="Compact"/>
              <w:jc w:val="right"/>
            </w:pPr>
            <w:r>
              <w:t xml:space="preserve">0.03487</w:t>
            </w:r>
          </w:p>
        </w:tc>
        <w:tc>
          <w:tcPr/>
          <w:p>
            <w:pPr>
              <w:pStyle w:val="Compact"/>
              <w:jc w:val="right"/>
            </w:pPr>
            <w:r>
              <w:t xml:space="preserve">0.03165</w:t>
            </w:r>
          </w:p>
        </w:tc>
        <w:tc>
          <w:tcPr/>
          <w:p>
            <w:pPr>
              <w:pStyle w:val="Compact"/>
              <w:jc w:val="right"/>
            </w:pPr>
            <w:r>
              <w:t xml:space="preserve">0.27060</w:t>
            </w:r>
          </w:p>
        </w:tc>
        <w:tc>
          <w:tcPr/>
          <w:p>
            <w:pPr>
              <w:pStyle w:val="Compact"/>
              <w:jc w:val="right"/>
            </w:pPr>
            <w: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 distance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Primary</w:t>
            </w:r>
          </w:p>
        </w:tc>
        <w:tc>
          <w:tcPr/>
          <w:p>
            <w:pPr>
              <w:pStyle w:val="Compact"/>
              <w:jc w:val="right"/>
            </w:pPr>
            <w:r>
              <w:t xml:space="preserve">0.09191</w:t>
            </w:r>
          </w:p>
        </w:tc>
        <w:tc>
          <w:tcPr/>
          <w:p>
            <w:pPr>
              <w:pStyle w:val="Compact"/>
              <w:jc w:val="right"/>
            </w:pPr>
            <w:r>
              <w:t xml:space="preserve">0.03806</w:t>
            </w:r>
          </w:p>
        </w:tc>
        <w:tc>
          <w:tcPr/>
          <w:p>
            <w:pPr>
              <w:pStyle w:val="Compact"/>
              <w:jc w:val="right"/>
            </w:pPr>
            <w:r>
              <w:t xml:space="preserve">0.01594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r>
        <w:tc>
          <w:tcPr/>
          <w:p>
            <w:pPr>
              <w:pStyle w:val="Compact"/>
              <w:jc w:val="left"/>
            </w:pPr>
            <w:r>
              <w:t xml:space="preserve">Supplemental-only</w:t>
            </w:r>
          </w:p>
        </w:tc>
        <w:tc>
          <w:tcPr/>
          <w:p>
            <w:pPr>
              <w:pStyle w:val="Compact"/>
              <w:jc w:val="right"/>
            </w:pPr>
            <w:r>
              <w:t xml:space="preserve">0.04410</w:t>
            </w:r>
          </w:p>
        </w:tc>
        <w:tc>
          <w:tcPr/>
          <w:p>
            <w:pPr>
              <w:pStyle w:val="Compact"/>
              <w:jc w:val="right"/>
            </w:pPr>
            <w:r>
              <w:t xml:space="preserve">0.04351</w:t>
            </w:r>
          </w:p>
        </w:tc>
        <w:tc>
          <w:tcPr/>
          <w:p>
            <w:pPr>
              <w:pStyle w:val="Compact"/>
              <w:jc w:val="right"/>
            </w:pPr>
            <w:r>
              <w:t xml:space="preserve">0.31134</w:t>
            </w:r>
          </w:p>
        </w:tc>
        <w:tc>
          <w:tcPr/>
          <w:p>
            <w:pPr>
              <w:pStyle w:val="Compact"/>
              <w:jc w:val="right"/>
            </w:pPr>
            <w:r>
              <w:t xml:space="preserve">828</w:t>
            </w:r>
          </w:p>
        </w:tc>
        <w:tc>
          <w:tcPr/>
          <w:p>
            <w:pPr>
              <w:pStyle w:val="Compact"/>
              <w:jc w:val="right"/>
            </w:pPr>
            <w:r>
              <w:t xml:space="preserve">470</w:t>
            </w:r>
          </w:p>
        </w:tc>
        <w:tc>
          <w:tcPr/>
          <w:p>
            <w:pPr>
              <w:pStyle w:val="Compact"/>
              <w:jc w:val="right"/>
            </w:pPr>
            <w:r>
              <w:t xml:space="preserve">736</w:t>
            </w:r>
          </w:p>
        </w:tc>
      </w:tr>
      <w:tr>
        <w:tc>
          <w:tcPr/>
          <w:p>
            <w:pPr>
              <w:pStyle w:val="Compact"/>
              <w:jc w:val="left"/>
            </w:pPr>
            <w:r>
              <w:t xml:space="preserve">No-zero-constant</w:t>
            </w:r>
          </w:p>
        </w:tc>
        <w:tc>
          <w:tcPr/>
          <w:p>
            <w:pPr>
              <w:pStyle w:val="Compact"/>
              <w:jc w:val="right"/>
            </w:pPr>
            <w:r>
              <w:t xml:space="preserve">0.09089</w:t>
            </w:r>
          </w:p>
        </w:tc>
        <w:tc>
          <w:tcPr/>
          <w:p>
            <w:pPr>
              <w:pStyle w:val="Compact"/>
              <w:jc w:val="right"/>
            </w:pPr>
            <w:r>
              <w:t xml:space="preserve">0.03865</w:t>
            </w:r>
          </w:p>
        </w:tc>
        <w:tc>
          <w:tcPr/>
          <w:p>
            <w:pPr>
              <w:pStyle w:val="Compact"/>
              <w:jc w:val="right"/>
            </w:pPr>
            <w:r>
              <w:t xml:space="preserve">0.01891</w:t>
            </w:r>
          </w:p>
        </w:tc>
        <w:tc>
          <w:tcPr/>
          <w:p>
            <w:pPr>
              <w:pStyle w:val="Compact"/>
              <w:jc w:val="right"/>
            </w:pPr>
            <w:r>
              <w:t xml:space="preserve">1,375</w:t>
            </w:r>
          </w:p>
        </w:tc>
        <w:tc>
          <w:tcPr/>
          <w:p>
            <w:pPr>
              <w:pStyle w:val="Compact"/>
              <w:jc w:val="right"/>
            </w:pPr>
            <w:r>
              <w:t xml:space="preserve">912</w:t>
            </w:r>
          </w:p>
        </w:tc>
        <w:tc>
          <w:tcPr/>
          <w:p>
            <w:pPr>
              <w:pStyle w:val="Compact"/>
              <w:jc w:val="right"/>
            </w:pPr>
            <w: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Offshore continuous gradient</w:t>
            </w:r>
          </w:p>
        </w:tc>
        <w:tc>
          <w:tcPr/>
          <w:p>
            <w:pPr>
              <w:pStyle w:val="Compact"/>
              <w:jc w:val="right"/>
            </w:pPr>
            <w:r>
              <w:t xml:space="preserve">0.22031</w:t>
            </w:r>
          </w:p>
        </w:tc>
        <w:tc>
          <w:tcPr/>
          <w:p>
            <w:pPr>
              <w:pStyle w:val="Compact"/>
              <w:jc w:val="right"/>
            </w:pPr>
            <w:r>
              <w:t xml:space="preserve">0.09704</w:t>
            </w:r>
          </w:p>
        </w:tc>
        <w:tc>
          <w:tcPr/>
          <w:p>
            <w:pPr>
              <w:pStyle w:val="Compact"/>
              <w:jc w:val="right"/>
            </w:pPr>
            <w:r>
              <w:t xml:space="preserve">0.02319</w:t>
            </w:r>
          </w:p>
        </w:tc>
        <w:tc>
          <w:tcPr/>
          <w:p>
            <w:pPr>
              <w:pStyle w:val="Compact"/>
              <w:jc w:val="right"/>
            </w:pPr>
            <w:r>
              <w:t xml:space="preserve">276</w:t>
            </w:r>
          </w:p>
        </w:tc>
        <w:tc>
          <w:tcPr/>
          <w:p>
            <w:pPr>
              <w:pStyle w:val="Compact"/>
              <w:jc w:val="right"/>
            </w:pPr>
            <w:r>
              <w:t xml:space="preserve">153</w:t>
            </w:r>
          </w:p>
        </w:tc>
        <w:tc>
          <w:tcPr/>
          <w:p>
            <w:pPr>
              <w:pStyle w:val="Compact"/>
              <w:jc w:val="right"/>
            </w:pPr>
            <w:r>
              <w:t xml:space="preserve">252</w:t>
            </w:r>
          </w:p>
        </w:tc>
      </w:tr>
      <w:tr>
        <w:tc>
          <w:tcPr/>
          <w:p>
            <w:pPr>
              <w:pStyle w:val="Compact"/>
              <w:jc w:val="left"/>
            </w:pPr>
            <w:r>
              <w:t xml:space="preserve">Mainland vs offshore indicator</w:t>
            </w:r>
          </w:p>
        </w:tc>
        <w:tc>
          <w:tcPr/>
          <w:p>
            <w:pPr>
              <w:pStyle w:val="Compact"/>
              <w:jc w:val="right"/>
            </w:pPr>
            <w:r>
              <w:t xml:space="preserve">0.12743</w:t>
            </w:r>
          </w:p>
        </w:tc>
        <w:tc>
          <w:tcPr/>
          <w:p>
            <w:pPr>
              <w:pStyle w:val="Compact"/>
              <w:jc w:val="right"/>
            </w:pPr>
            <w:r>
              <w:t xml:space="preserve">0.08714</w:t>
            </w:r>
          </w:p>
        </w:tc>
        <w:tc>
          <w:tcPr/>
          <w:p>
            <w:pPr>
              <w:pStyle w:val="Compact"/>
              <w:jc w:val="right"/>
            </w:pPr>
            <w:r>
              <w:t xml:space="preserve">0.14364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 family / score</w:t>
            </w:r>
          </w:p>
        </w:tc>
        <w:tc>
          <w:tcPr/>
          <w:p>
            <w:pPr>
              <w:pStyle w:val="Compact"/>
              <w:jc w:val="left"/>
            </w:pPr>
            <w:r>
              <w:t xml:space="preserve">Analysis</w:t>
            </w:r>
          </w:p>
        </w:tc>
        <w:tc>
          <w:tcPr/>
          <w:p>
            <w:pPr>
              <w:pStyle w:val="Compact"/>
              <w:jc w:val="right"/>
            </w:pPr>
            <w:r>
              <w:t xml:space="preserve">β trait score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Reproductive assurance / selfing_core</w:t>
            </w:r>
          </w:p>
        </w:tc>
        <w:tc>
          <w:tcPr/>
          <w:p>
            <w:pPr>
              <w:pStyle w:val="Compact"/>
              <w:jc w:val="left"/>
            </w:pPr>
            <w:r>
              <w:t xml:space="preserve">Primary</w:t>
            </w:r>
          </w:p>
        </w:tc>
        <w:tc>
          <w:tcPr/>
          <w:p>
            <w:pPr>
              <w:pStyle w:val="Compact"/>
              <w:jc w:val="right"/>
            </w:pPr>
            <w:r>
              <w:t xml:space="preserve">-0.29830</w:t>
            </w:r>
          </w:p>
        </w:tc>
        <w:tc>
          <w:tcPr/>
          <w:p>
            <w:pPr>
              <w:pStyle w:val="Compact"/>
              <w:jc w:val="right"/>
            </w:pPr>
            <w:r>
              <w:t xml:space="preserve">0.10352</w:t>
            </w:r>
          </w:p>
        </w:tc>
        <w:tc>
          <w:tcPr/>
          <w:p>
            <w:pPr>
              <w:pStyle w:val="Compact"/>
              <w:jc w:val="right"/>
            </w:pPr>
            <w:r>
              <w:t xml:space="preserve">0.00417</w:t>
            </w:r>
          </w:p>
        </w:tc>
        <w:tc>
          <w:tcPr/>
          <w:p>
            <w:pPr>
              <w:pStyle w:val="Compact"/>
              <w:jc w:val="right"/>
            </w:pPr>
            <w:r>
              <w:t xml:space="preserve">455</w:t>
            </w:r>
          </w:p>
        </w:tc>
        <w:tc>
          <w:tcPr/>
          <w:p>
            <w:pPr>
              <w:pStyle w:val="Compact"/>
              <w:jc w:val="right"/>
            </w:pPr>
            <w:r>
              <w:t xml:space="preserve">409</w:t>
            </w:r>
          </w:p>
        </w:tc>
      </w:tr>
      <w:tr>
        <w:tc>
          <w:tcPr/>
          <w:p>
            <w:pPr>
              <w:pStyle w:val="Compact"/>
              <w:jc w:val="left"/>
            </w:pPr>
            <w:r>
              <w:t xml:space="preserve">Reproductive assurance / selfing_core</w:t>
            </w:r>
          </w:p>
        </w:tc>
        <w:tc>
          <w:tcPr/>
          <w:p>
            <w:pPr>
              <w:pStyle w:val="Compact"/>
              <w:jc w:val="left"/>
            </w:pPr>
            <w:r>
              <w:t xml:space="preserve">No-zero-constant</w:t>
            </w:r>
          </w:p>
        </w:tc>
        <w:tc>
          <w:tcPr/>
          <w:p>
            <w:pPr>
              <w:pStyle w:val="Compact"/>
              <w:jc w:val="right"/>
            </w:pPr>
            <w:r>
              <w:t xml:space="preserve">-0.30078</w:t>
            </w:r>
          </w:p>
        </w:tc>
        <w:tc>
          <w:tcPr/>
          <w:p>
            <w:pPr>
              <w:pStyle w:val="Compact"/>
              <w:jc w:val="right"/>
            </w:pPr>
            <w:r>
              <w:t xml:space="preserve">0.10419</w:t>
            </w:r>
          </w:p>
        </w:tc>
        <w:tc>
          <w:tcPr/>
          <w:p>
            <w:pPr>
              <w:pStyle w:val="Compact"/>
              <w:jc w:val="right"/>
            </w:pPr>
            <w:r>
              <w:t xml:space="preserve">0.00410</w:t>
            </w:r>
          </w:p>
        </w:tc>
        <w:tc>
          <w:tcPr/>
          <w:p>
            <w:pPr>
              <w:pStyle w:val="Compact"/>
              <w:jc w:val="right"/>
            </w:pPr>
            <w:r>
              <w:t xml:space="preserve">453</w:t>
            </w:r>
          </w:p>
        </w:tc>
        <w:tc>
          <w:tcPr/>
          <w:p>
            <w:pPr>
              <w:pStyle w:val="Compact"/>
              <w:jc w:val="right"/>
            </w:pPr>
            <w:r>
              <w:t xml:space="preserve">408</w:t>
            </w:r>
          </w:p>
        </w:tc>
      </w:tr>
      <w:tr>
        <w:tc>
          <w:tcPr/>
          <w:p>
            <w:pPr>
              <w:pStyle w:val="Compact"/>
              <w:jc w:val="left"/>
            </w:pPr>
            <w:r>
              <w:t xml:space="preserve">Reproductive assurance / selfing_core</w:t>
            </w:r>
          </w:p>
        </w:tc>
        <w:tc>
          <w:tcPr/>
          <w:p>
            <w:pPr>
              <w:pStyle w:val="Compact"/>
              <w:jc w:val="left"/>
            </w:pPr>
            <w:r>
              <w:t xml:space="preserve">Supplemental-only</w:t>
            </w:r>
          </w:p>
        </w:tc>
        <w:tc>
          <w:tcPr/>
          <w:p>
            <w:pPr>
              <w:pStyle w:val="Compact"/>
              <w:jc w:val="right"/>
            </w:pPr>
            <w:r>
              <w:t xml:space="preserve">-0.09953</w:t>
            </w:r>
          </w:p>
        </w:tc>
        <w:tc>
          <w:tcPr/>
          <w:p>
            <w:pPr>
              <w:pStyle w:val="Compact"/>
              <w:jc w:val="right"/>
            </w:pPr>
            <w:r>
              <w:t xml:space="preserve">0.09398</w:t>
            </w:r>
          </w:p>
        </w:tc>
        <w:tc>
          <w:tcPr/>
          <w:p>
            <w:pPr>
              <w:pStyle w:val="Compact"/>
              <w:jc w:val="right"/>
            </w:pPr>
            <w:r>
              <w:t xml:space="preserve">0.29068</w:t>
            </w:r>
          </w:p>
        </w:tc>
        <w:tc>
          <w:tcPr/>
          <w:p>
            <w:pPr>
              <w:pStyle w:val="Compact"/>
              <w:jc w:val="right"/>
            </w:pPr>
            <w:r>
              <w:t xml:space="preserve">283</w:t>
            </w:r>
          </w:p>
        </w:tc>
        <w:tc>
          <w:tcPr/>
          <w:p>
            <w:pPr>
              <w:pStyle w:val="Compact"/>
              <w:jc w:val="right"/>
            </w:pPr>
            <w:r>
              <w:t xml:space="preserve">241</w:t>
            </w:r>
          </w:p>
        </w:tc>
      </w:tr>
      <w:tr>
        <w:tc>
          <w:tcPr/>
          <w:p>
            <w:pPr>
              <w:pStyle w:val="Compact"/>
              <w:jc w:val="left"/>
            </w:pPr>
            <w:r>
              <w:t xml:space="preserve">Accessibility / generalized_accessible</w:t>
            </w:r>
          </w:p>
        </w:tc>
        <w:tc>
          <w:tcPr/>
          <w:p>
            <w:pPr>
              <w:pStyle w:val="Compact"/>
              <w:jc w:val="left"/>
            </w:pPr>
            <w:r>
              <w:t xml:space="preserve">Primary</w:t>
            </w:r>
          </w:p>
        </w:tc>
        <w:tc>
          <w:tcPr/>
          <w:p>
            <w:pPr>
              <w:pStyle w:val="Compact"/>
              <w:jc w:val="right"/>
            </w:pPr>
            <w:r>
              <w:t xml:space="preserve">-0.29566</w:t>
            </w:r>
          </w:p>
        </w:tc>
        <w:tc>
          <w:tcPr/>
          <w:p>
            <w:pPr>
              <w:pStyle w:val="Compact"/>
              <w:jc w:val="right"/>
            </w:pPr>
            <w:r>
              <w:t xml:space="preserve">0.12896</w:t>
            </w:r>
          </w:p>
        </w:tc>
        <w:tc>
          <w:tcPr/>
          <w:p>
            <w:pPr>
              <w:pStyle w:val="Compact"/>
              <w:jc w:val="right"/>
            </w:pPr>
            <w:r>
              <w:t xml:space="preserve">0.02334</w:t>
            </w:r>
          </w:p>
        </w:tc>
        <w:tc>
          <w:tcPr/>
          <w:p>
            <w:pPr>
              <w:pStyle w:val="Compact"/>
              <w:jc w:val="right"/>
            </w:pPr>
            <w:r>
              <w:t xml:space="preserve">143</w:t>
            </w:r>
          </w:p>
        </w:tc>
        <w:tc>
          <w:tcPr/>
          <w:p>
            <w:pPr>
              <w:pStyle w:val="Compact"/>
              <w:jc w:val="right"/>
            </w:pPr>
            <w:r>
              <w:t xml:space="preserve">143</w:t>
            </w:r>
          </w:p>
        </w:tc>
      </w:tr>
      <w:tr>
        <w:tc>
          <w:tcPr/>
          <w:p>
            <w:pPr>
              <w:pStyle w:val="Compact"/>
              <w:jc w:val="left"/>
            </w:pPr>
            <w:r>
              <w:t xml:space="preserve">Accessibility / generalized_accessible</w:t>
            </w:r>
          </w:p>
        </w:tc>
        <w:tc>
          <w:tcPr/>
          <w:p>
            <w:pPr>
              <w:pStyle w:val="Compact"/>
              <w:jc w:val="left"/>
            </w:pPr>
            <w:r>
              <w:t xml:space="preserve">No-zero-constant</w:t>
            </w:r>
          </w:p>
        </w:tc>
        <w:tc>
          <w:tcPr/>
          <w:p>
            <w:pPr>
              <w:pStyle w:val="Compact"/>
              <w:jc w:val="right"/>
            </w:pPr>
            <w:r>
              <w:t xml:space="preserve">-0.30366</w:t>
            </w:r>
          </w:p>
        </w:tc>
        <w:tc>
          <w:tcPr/>
          <w:p>
            <w:pPr>
              <w:pStyle w:val="Compact"/>
              <w:jc w:val="right"/>
            </w:pPr>
            <w:r>
              <w:t xml:space="preserve">0.12991</w:t>
            </w:r>
          </w:p>
        </w:tc>
        <w:tc>
          <w:tcPr/>
          <w:p>
            <w:pPr>
              <w:pStyle w:val="Compact"/>
              <w:jc w:val="right"/>
            </w:pPr>
            <w:r>
              <w:t xml:space="preserve">0.02082</w:t>
            </w:r>
          </w:p>
        </w:tc>
        <w:tc>
          <w:tcPr/>
          <w:p>
            <w:pPr>
              <w:pStyle w:val="Compact"/>
              <w:jc w:val="right"/>
            </w:pPr>
            <w:r>
              <w:t xml:space="preserve">142</w:t>
            </w:r>
          </w:p>
        </w:tc>
        <w:tc>
          <w:tcPr/>
          <w:p>
            <w:pPr>
              <w:pStyle w:val="Compact"/>
              <w:jc w:val="right"/>
            </w:pPr>
            <w:r>
              <w:t xml:space="preserve">142</w:t>
            </w:r>
          </w:p>
        </w:tc>
      </w:tr>
      <w:tr>
        <w:tc>
          <w:tcPr/>
          <w:p>
            <w:pPr>
              <w:pStyle w:val="Compact"/>
              <w:jc w:val="left"/>
            </w:pPr>
            <w:r>
              <w:t xml:space="preserve">Accessibility / generalized_accessible</w:t>
            </w:r>
          </w:p>
        </w:tc>
        <w:tc>
          <w:tcPr/>
          <w:p>
            <w:pPr>
              <w:pStyle w:val="Compact"/>
              <w:jc w:val="left"/>
            </w:pPr>
            <w:r>
              <w:t xml:space="preserve">Supplemental-only</w:t>
            </w:r>
          </w:p>
        </w:tc>
        <w:tc>
          <w:tcPr/>
          <w:p>
            <w:pPr>
              <w:pStyle w:val="Compact"/>
              <w:jc w:val="right"/>
            </w:pPr>
            <w:r>
              <w:t xml:space="preserve">-0.29950</w:t>
            </w:r>
          </w:p>
        </w:tc>
        <w:tc>
          <w:tcPr/>
          <w:p>
            <w:pPr>
              <w:pStyle w:val="Compact"/>
              <w:jc w:val="right"/>
            </w:pPr>
            <w:r>
              <w:t xml:space="preserve">0.14562</w:t>
            </w:r>
          </w:p>
        </w:tc>
        <w:tc>
          <w:tcPr/>
          <w:p>
            <w:pPr>
              <w:pStyle w:val="Compact"/>
              <w:jc w:val="right"/>
            </w:pPr>
            <w:r>
              <w:t xml:space="preserve">0.04239</w:t>
            </w:r>
          </w:p>
        </w:tc>
        <w:tc>
          <w:tcPr/>
          <w:p>
            <w:pPr>
              <w:pStyle w:val="Compact"/>
              <w:jc w:val="right"/>
            </w:pPr>
            <w:r>
              <w:t xml:space="preserve">101</w:t>
            </w:r>
          </w:p>
        </w:tc>
        <w:tc>
          <w:tcPr/>
          <w:p>
            <w:pPr>
              <w:pStyle w:val="Compact"/>
              <w:jc w:val="right"/>
            </w:pPr>
            <w: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Trait</w:t>
            </w:r>
          </w:p>
        </w:tc>
        <w:tc>
          <w:tcPr/>
          <w:p>
            <w:pPr>
              <w:pStyle w:val="Compact"/>
              <w:jc w:val="right"/>
            </w:pPr>
            <w:r>
              <w:t xml:space="preserve">β trait state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Self-compatibility</w:t>
            </w:r>
          </w:p>
        </w:tc>
        <w:tc>
          <w:tcPr/>
          <w:p>
            <w:pPr>
              <w:pStyle w:val="Compact"/>
              <w:jc w:val="right"/>
            </w:pPr>
            <w:r>
              <w:t xml:space="preserve">-0.11885</w:t>
            </w:r>
          </w:p>
        </w:tc>
        <w:tc>
          <w:tcPr/>
          <w:p>
            <w:pPr>
              <w:pStyle w:val="Compact"/>
              <w:jc w:val="right"/>
            </w:pPr>
            <w:r>
              <w:t xml:space="preserve">0.08246</w:t>
            </w:r>
          </w:p>
        </w:tc>
        <w:tc>
          <w:tcPr/>
          <w:p>
            <w:pPr>
              <w:pStyle w:val="Compact"/>
              <w:jc w:val="right"/>
            </w:pPr>
            <w:r>
              <w:t xml:space="preserve">0.1502</w:t>
            </w:r>
          </w:p>
        </w:tc>
        <w:tc>
          <w:tcPr/>
          <w:p>
            <w:pPr>
              <w:pStyle w:val="Compact"/>
              <w:jc w:val="right"/>
            </w:pPr>
            <w:r>
              <w:t xml:space="preserve">499</w:t>
            </w:r>
          </w:p>
        </w:tc>
        <w:tc>
          <w:tcPr/>
          <w:p>
            <w:pPr>
              <w:pStyle w:val="Compact"/>
              <w:jc w:val="right"/>
            </w:pPr>
            <w:r>
              <w:t xml:space="preserve">429</w:t>
            </w:r>
          </w:p>
        </w:tc>
      </w:tr>
      <w:tr>
        <w:tc>
          <w:tcPr/>
          <w:p>
            <w:pPr>
              <w:pStyle w:val="Compact"/>
              <w:jc w:val="left"/>
            </w:pPr>
            <w:r>
              <w:t xml:space="preserve">Autonomous selfing</w:t>
            </w:r>
          </w:p>
        </w:tc>
        <w:tc>
          <w:tcPr/>
          <w:p>
            <w:pPr>
              <w:pStyle w:val="Compact"/>
              <w:jc w:val="right"/>
            </w:pPr>
            <w:r>
              <w:t xml:space="preserve">-0.44492</w:t>
            </w:r>
          </w:p>
        </w:tc>
        <w:tc>
          <w:tcPr/>
          <w:p>
            <w:pPr>
              <w:pStyle w:val="Compact"/>
              <w:jc w:val="right"/>
            </w:pPr>
            <w:r>
              <w:t xml:space="preserve">0.08020</w:t>
            </w:r>
          </w:p>
        </w:tc>
        <w:tc>
          <w:tcPr/>
          <w:p>
            <w:pPr>
              <w:pStyle w:val="Compact"/>
              <w:jc w:val="right"/>
            </w:pPr>
            <w:r>
              <w:t xml:space="preserve">4.85 × 10^-8</w:t>
            </w:r>
          </w:p>
        </w:tc>
        <w:tc>
          <w:tcPr/>
          <w:p>
            <w:pPr>
              <w:pStyle w:val="Compact"/>
              <w:jc w:val="right"/>
            </w:pPr>
            <w:r>
              <w:t xml:space="preserve">558</w:t>
            </w:r>
          </w:p>
        </w:tc>
        <w:tc>
          <w:tcPr/>
          <w:p>
            <w:pPr>
              <w:pStyle w:val="Compact"/>
              <w:jc w:val="right"/>
            </w:pPr>
            <w:r>
              <w:t xml:space="preserve">469</w:t>
            </w:r>
          </w:p>
        </w:tc>
      </w:tr>
      <w:tr>
        <w:tc>
          <w:tcPr/>
          <w:p>
            <w:pPr>
              <w:pStyle w:val="Compact"/>
              <w:jc w:val="left"/>
            </w:pPr>
            <w:r>
              <w:t xml:space="preserve">Generalized form</w:t>
            </w:r>
          </w:p>
        </w:tc>
        <w:tc>
          <w:tcPr/>
          <w:p>
            <w:pPr>
              <w:pStyle w:val="Compact"/>
              <w:jc w:val="right"/>
            </w:pPr>
            <w:r>
              <w:t xml:space="preserve">-0.18448</w:t>
            </w:r>
          </w:p>
        </w:tc>
        <w:tc>
          <w:tcPr/>
          <w:p>
            <w:pPr>
              <w:pStyle w:val="Compact"/>
              <w:jc w:val="right"/>
            </w:pPr>
            <w:r>
              <w:t xml:space="preserve">0.09174</w:t>
            </w:r>
          </w:p>
        </w:tc>
        <w:tc>
          <w:tcPr/>
          <w:p>
            <w:pPr>
              <w:pStyle w:val="Compact"/>
              <w:jc w:val="right"/>
            </w:pPr>
            <w:r>
              <w:t xml:space="preserve">0.04543</w:t>
            </w:r>
          </w:p>
        </w:tc>
        <w:tc>
          <w:tcPr/>
          <w:p>
            <w:pPr>
              <w:pStyle w:val="Compact"/>
              <w:jc w:val="right"/>
            </w:pPr>
            <w:r>
              <w:t xml:space="preserve">246</w:t>
            </w:r>
          </w:p>
        </w:tc>
        <w:tc>
          <w:tcPr/>
          <w:p>
            <w:pPr>
              <w:pStyle w:val="Compact"/>
              <w:jc w:val="right"/>
            </w:pPr>
            <w:r>
              <w:t xml:space="preserve">246</w:t>
            </w:r>
          </w:p>
        </w:tc>
      </w:tr>
      <w:tr>
        <w:tc>
          <w:tcPr/>
          <w:p>
            <w:pPr>
              <w:pStyle w:val="Compact"/>
              <w:jc w:val="left"/>
            </w:pPr>
            <w:r>
              <w:t xml:space="preserve">Actinomorphic symmetry</w:t>
            </w:r>
          </w:p>
        </w:tc>
        <w:tc>
          <w:tcPr/>
          <w:p>
            <w:pPr>
              <w:pStyle w:val="Compact"/>
              <w:jc w:val="right"/>
            </w:pPr>
            <w:r>
              <w:t xml:space="preserve">-0.38076</w:t>
            </w:r>
          </w:p>
        </w:tc>
        <w:tc>
          <w:tcPr/>
          <w:p>
            <w:pPr>
              <w:pStyle w:val="Compact"/>
              <w:jc w:val="right"/>
            </w:pPr>
            <w:r>
              <w:t xml:space="preserve">0.08697</w:t>
            </w:r>
          </w:p>
        </w:tc>
        <w:tc>
          <w:tcPr/>
          <w:p>
            <w:pPr>
              <w:pStyle w:val="Compact"/>
              <w:jc w:val="right"/>
            </w:pPr>
            <w:r>
              <w:t xml:space="preserve">1.47 × 10^-5</w:t>
            </w:r>
          </w:p>
        </w:tc>
        <w:tc>
          <w:tcPr/>
          <w:p>
            <w:pPr>
              <w:pStyle w:val="Compact"/>
              <w:jc w:val="right"/>
            </w:pPr>
            <w:r>
              <w:t xml:space="preserve">582</w:t>
            </w:r>
          </w:p>
        </w:tc>
        <w:tc>
          <w:tcPr/>
          <w:p>
            <w:pPr>
              <w:pStyle w:val="Compact"/>
              <w:jc w:val="right"/>
            </w:pPr>
            <w: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Frozen family / trait</w:t>
            </w:r>
          </w:p>
        </w:tc>
        <w:tc>
          <w:tcPr/>
          <w:p>
            <w:pPr>
              <w:pStyle w:val="Compact"/>
              <w:jc w:val="right"/>
            </w:pPr>
            <w:r>
              <w:t xml:space="preserve">Corrected distance × trait interaction</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One-sided buffering P</w:t>
            </w:r>
          </w:p>
        </w:tc>
        <w:tc>
          <w:tcPr/>
          <w:p>
            <w:pPr>
              <w:pStyle w:val="Compact"/>
              <w:jc w:val="left"/>
            </w:pPr>
            <w:r>
              <w:t xml:space="preserve">Frozen-rule support</w:t>
            </w:r>
          </w:p>
        </w:tc>
      </w:tr>
      <w:tr>
        <w:tc>
          <w:tcPr/>
          <w:p>
            <w:pPr>
              <w:pStyle w:val="Compact"/>
              <w:jc w:val="left"/>
            </w:pPr>
            <w:r>
              <w:t xml:space="preserve">Reproductive assurance: self-compatibility</w:t>
            </w:r>
          </w:p>
        </w:tc>
        <w:tc>
          <w:tcPr/>
          <w:p>
            <w:pPr>
              <w:pStyle w:val="Compact"/>
              <w:jc w:val="right"/>
            </w:pPr>
            <w:r>
              <w:t xml:space="preserve">+0.04444</w:t>
            </w:r>
          </w:p>
        </w:tc>
        <w:tc>
          <w:tcPr/>
          <w:p>
            <w:pPr>
              <w:pStyle w:val="Compact"/>
              <w:jc w:val="right"/>
            </w:pPr>
            <w:r>
              <w:t xml:space="preserve">0.07414</w:t>
            </w:r>
          </w:p>
        </w:tc>
        <w:tc>
          <w:tcPr/>
          <w:p>
            <w:pPr>
              <w:pStyle w:val="Compact"/>
              <w:jc w:val="right"/>
            </w:pPr>
            <w:r>
              <w:t xml:space="preserve">0.5489</w:t>
            </w:r>
          </w:p>
        </w:tc>
        <w:tc>
          <w:tcPr/>
          <w:p>
            <w:pPr>
              <w:pStyle w:val="Compact"/>
              <w:jc w:val="right"/>
            </w:pPr>
            <w:r>
              <w:t xml:space="preserve">0.7256</w:t>
            </w:r>
          </w:p>
        </w:tc>
        <w:tc>
          <w:tcPr/>
          <w:p>
            <w:pPr>
              <w:pStyle w:val="Compact"/>
              <w:jc w:val="left"/>
            </w:pPr>
            <w:r>
              <w:t xml:space="preserve">No</w:t>
            </w:r>
          </w:p>
        </w:tc>
      </w:tr>
      <w:tr>
        <w:tc>
          <w:tcPr/>
          <w:p>
            <w:pPr>
              <w:pStyle w:val="Compact"/>
              <w:jc w:val="left"/>
            </w:pPr>
            <w:r>
              <w:t xml:space="preserve">Reproductive assurance: autonomous selfing</w:t>
            </w:r>
          </w:p>
        </w:tc>
        <w:tc>
          <w:tcPr/>
          <w:p>
            <w:pPr>
              <w:pStyle w:val="Compact"/>
              <w:jc w:val="right"/>
            </w:pPr>
            <w:r>
              <w:t xml:space="preserve">-0.08329</w:t>
            </w:r>
          </w:p>
        </w:tc>
        <w:tc>
          <w:tcPr/>
          <w:p>
            <w:pPr>
              <w:pStyle w:val="Compact"/>
              <w:jc w:val="right"/>
            </w:pPr>
            <w:r>
              <w:t xml:space="preserve">0.07237</w:t>
            </w:r>
          </w:p>
        </w:tc>
        <w:tc>
          <w:tcPr/>
          <w:p>
            <w:pPr>
              <w:pStyle w:val="Compact"/>
              <w:jc w:val="right"/>
            </w:pPr>
            <w:r>
              <w:t xml:space="preserve">0.2498</w:t>
            </w:r>
          </w:p>
        </w:tc>
        <w:tc>
          <w:tcPr/>
          <w:p>
            <w:pPr>
              <w:pStyle w:val="Compact"/>
              <w:jc w:val="right"/>
            </w:pPr>
            <w:r>
              <w:t xml:space="preserve">0.1249</w:t>
            </w:r>
          </w:p>
        </w:tc>
        <w:tc>
          <w:tcPr/>
          <w:p>
            <w:pPr>
              <w:pStyle w:val="Compact"/>
              <w:jc w:val="left"/>
            </w:pPr>
            <w:r>
              <w:t xml:space="preserve">No</w:t>
            </w:r>
          </w:p>
        </w:tc>
      </w:tr>
      <w:tr>
        <w:tc>
          <w:tcPr/>
          <w:p>
            <w:pPr>
              <w:pStyle w:val="Compact"/>
              <w:jc w:val="left"/>
            </w:pPr>
            <w:r>
              <w:t xml:space="preserve">Floral architecture: generalized form</w:t>
            </w:r>
          </w:p>
        </w:tc>
        <w:tc>
          <w:tcPr/>
          <w:p>
            <w:pPr>
              <w:pStyle w:val="Compact"/>
              <w:jc w:val="right"/>
            </w:pPr>
            <w:r>
              <w:t xml:space="preserve">-0.05204</w:t>
            </w:r>
          </w:p>
        </w:tc>
        <w:tc>
          <w:tcPr/>
          <w:p>
            <w:pPr>
              <w:pStyle w:val="Compact"/>
              <w:jc w:val="right"/>
            </w:pPr>
            <w:r>
              <w:t xml:space="preserve">0.09589</w:t>
            </w:r>
          </w:p>
        </w:tc>
        <w:tc>
          <w:tcPr/>
          <w:p>
            <w:pPr>
              <w:pStyle w:val="Compact"/>
              <w:jc w:val="right"/>
            </w:pPr>
            <w:r>
              <w:t xml:space="preserve">0.5873</w:t>
            </w:r>
          </w:p>
        </w:tc>
        <w:tc>
          <w:tcPr/>
          <w:p>
            <w:pPr>
              <w:pStyle w:val="Compact"/>
              <w:jc w:val="right"/>
            </w:pPr>
            <w:r>
              <w:t xml:space="preserve">0.2937</w:t>
            </w:r>
          </w:p>
        </w:tc>
        <w:tc>
          <w:tcPr/>
          <w:p>
            <w:pPr>
              <w:pStyle w:val="Compact"/>
              <w:jc w:val="left"/>
            </w:pPr>
            <w:r>
              <w:t xml:space="preserve">No</w:t>
            </w:r>
          </w:p>
        </w:tc>
      </w:tr>
      <w:tr>
        <w:tc>
          <w:tcPr/>
          <w:p>
            <w:pPr>
              <w:pStyle w:val="Compact"/>
              <w:jc w:val="left"/>
            </w:pPr>
            <w:r>
              <w:t xml:space="preserve">Floral architecture: actinomorphy</w:t>
            </w:r>
          </w:p>
        </w:tc>
        <w:tc>
          <w:tcPr/>
          <w:p>
            <w:pPr>
              <w:pStyle w:val="Compact"/>
              <w:jc w:val="right"/>
            </w:pPr>
            <w:r>
              <w:t xml:space="preserve">+0.03413</w:t>
            </w:r>
          </w:p>
        </w:tc>
        <w:tc>
          <w:tcPr/>
          <w:p>
            <w:pPr>
              <w:pStyle w:val="Compact"/>
              <w:jc w:val="right"/>
            </w:pPr>
            <w:r>
              <w:t xml:space="preserve">0.07961</w:t>
            </w:r>
          </w:p>
        </w:tc>
        <w:tc>
          <w:tcPr/>
          <w:p>
            <w:pPr>
              <w:pStyle w:val="Compact"/>
              <w:jc w:val="right"/>
            </w:pPr>
            <w:r>
              <w:t xml:space="preserve">0.6682</w:t>
            </w:r>
          </w:p>
        </w:tc>
        <w:tc>
          <w:tcPr/>
          <w:p>
            <w:pPr>
              <w:pStyle w:val="Compact"/>
              <w:jc w:val="right"/>
            </w:pPr>
            <w:r>
              <w:t xml:space="preserve">0.6659</w:t>
            </w:r>
          </w:p>
        </w:tc>
        <w:tc>
          <w:tcPr/>
          <w:p>
            <w:pPr>
              <w:pStyle w:val="Compact"/>
              <w:jc w:val="left"/>
            </w:pPr>
            <w: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2026-10-15T11:19:05Z</dcterms:created>
  <dcterms:modified xsi:type="dcterms:W3CDTF">2026-10-15T11:19:05Z</dcterms:modified>
</cp:coreProperties>
</file>

<file path=docProps/custom.xml><?xml version="1.0" encoding="utf-8"?>
<Properties xmlns="http://schemas.openxmlformats.org/officeDocument/2006/custom-properties" xmlns:vt="http://schemas.openxmlformats.org/officeDocument/2006/docPropsVTypes"/>
</file>