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95959"/>
          <w:spacing w:val="40"/>
          <w:sz w:val="18"/>
          <w:szCs w:val="18"/>
        </w:rPr>
        <w:t xml:space="preserve">DSAI 6226 DATA ENGINEERING</w:t>
      </w:r>
    </w:p>
    <w:p>
      <w:pPr>
        <w:spacing w:after="60"/>
      </w:pPr>
      <w:r>
        <w:rPr>
          <w:rFonts w:ascii="Calibri" w:cs="Calibri" w:eastAsia="Calibri" w:hAnsi="Calibri"/>
          <w:b/>
          <w:bCs/>
          <w:color w:val="1F3864"/>
          <w:sz w:val="40"/>
          <w:szCs w:val="40"/>
        </w:rPr>
        <w:t xml:space="preserve">Lab 1: Data problem statement</w:t>
      </w:r>
    </w:p>
    <w:p>
      <w:pPr>
        <w:pBdr>
          <w:bottom w:val="single" w:color="BFBFBF" w:sz="6"/>
        </w:pBdr>
        <w:spacing w:after="160"/>
      </w:pPr>
      <w:r>
        <w:rPr>
          <w:rFonts w:ascii="Calibri" w:cs="Calibri" w:eastAsia="Calibri" w:hAnsi="Calibri"/>
          <w:color w:val="595959"/>
          <w:sz w:val="22"/>
          <w:szCs w:val="22"/>
        </w:rPr>
        <w:t xml:space="preserve">Adult census income extract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7526"/>
      </w:tblGrid>
      <w:tr>
        <w:trPr>
          <w:tblHeader w:val="false"/>
        </w:trPr>
        <w:tc>
          <w:tcPr>
            <w:tcW w:type="dxa" w:w="15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Team</w:t>
            </w:r>
          </w:p>
        </w:tc>
        <w:tc>
          <w:tcPr>
            <w:tcW w:type="dxa" w:w="75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Team E</w:t>
            </w:r>
          </w:p>
        </w:tc>
      </w:tr>
      <w:tr>
        <w:trPr>
          <w:tblHeader w:val="false"/>
        </w:trPr>
        <w:tc>
          <w:tcPr>
            <w:tcW w:type="dxa" w:w="15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Members</w:t>
            </w:r>
          </w:p>
        </w:tc>
        <w:tc>
          <w:tcPr>
            <w:tcW w:type="dxa" w:w="75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Mhina Lukurunge, Samwel Mmari, Asajile Mwakyalabwe, Essa Mohamedali, Paschal Bizulu</w:t>
            </w:r>
          </w:p>
        </w:tc>
      </w:tr>
      <w:tr>
        <w:trPr>
          <w:tblHeader w:val="false"/>
        </w:trPr>
        <w:tc>
          <w:tcPr>
            <w:tcW w:type="dxa" w:w="15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Dataset</w:t>
            </w:r>
          </w:p>
        </w:tc>
        <w:tc>
          <w:tcPr>
            <w:tcW w:type="dxa" w:w="75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adult.csv</w:t>
            </w:r>
            <w:r>
              <w:rPr>
                <w:rFonts w:ascii="Calibri" w:cs="Calibri" w:eastAsia="Calibri" w:hAnsi="Calibri"/>
                <w:color w:val="000000"/>
                <w:sz w:val="19"/>
                <w:szCs w:val="19"/>
              </w:rPr>
              <w:t xml:space="preserve">, Kaggle mirror of the UCI Adult dataset, extracted from the March 1994 Current Population Survey</w:t>
            </w:r>
          </w:p>
        </w:tc>
      </w:tr>
      <w:tr>
        <w:trPr>
          <w:tblHeader w:val="false"/>
        </w:trPr>
        <w:tc>
          <w:tcPr>
            <w:tcW w:type="dxa" w:w="15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Shape</w:t>
            </w:r>
          </w:p>
        </w:tc>
        <w:tc>
          <w:tcPr>
            <w:tcW w:type="dxa" w:w="75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32,561 records, 15 columns</w:t>
            </w:r>
          </w:p>
        </w:tc>
      </w:tr>
      <w:tr>
        <w:trPr>
          <w:tblHeader w:val="false"/>
        </w:trPr>
        <w:tc>
          <w:tcPr>
            <w:tcW w:type="dxa" w:w="15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Date</w:t>
            </w:r>
          </w:p>
        </w:tc>
        <w:tc>
          <w:tcPr>
            <w:tcW w:type="dxa" w:w="75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23 August 2026</w:t>
            </w:r>
          </w:p>
        </w:tc>
      </w:tr>
    </w:tbl>
    <w:p>
      <w:pPr>
        <w:spacing w:after="160"/>
      </w:pPr>
    </w:p>
    <w:p>
      <w:pPr>
        <w:pStyle w:val="Heading1"/>
        <w:keepNext/>
        <w:spacing w:after="140" w:before="320"/>
      </w:pPr>
      <w:r>
        <w:rPr>
          <w:rFonts w:ascii="Calibri" w:cs="Calibri" w:eastAsia="Calibri" w:hAnsi="Calibri"/>
          <w:b/>
          <w:bCs/>
          <w:color w:val="1F3864"/>
          <w:sz w:val="26"/>
          <w:szCs w:val="26"/>
        </w:rPr>
        <w:t xml:space="preserve">Operating assumption</w:t>
      </w:r>
    </w:p>
    <w:p>
      <w:pPr>
        <w:spacing w:after="120" w:before="0" w:line="276"/>
      </w:pPr>
      <w:r>
        <w:rPr>
          <w:rFonts w:ascii="Calibri" w:cs="Calibri" w:eastAsia="Calibri" w:hAnsi="Calibri"/>
          <w:color w:val="000000"/>
          <w:sz w:val="21"/>
          <w:szCs w:val="21"/>
        </w:rPr>
        <w:t xml:space="preserve">The Adult census file is a public Kaggle mirror of a UCI teaching dataset. Nobody commissioned it and no organisation currently depends on it, so this statement names a consumer and a decision and then assesses the data against them. The decision is set in the 1995 federal funding cycle, contemporaneous with the March 1994 survey the data comes from. A file this old cannot support a present-day allocation, and assessing it as though it could would make every finding below meaningless.</w:t>
      </w:r>
    </w:p>
    <w:p>
      <w:pPr>
        <w:pStyle w:val="Heading1"/>
        <w:keepNext/>
        <w:spacing w:after="140" w:before="320"/>
      </w:pPr>
      <w:r>
        <w:rPr>
          <w:rFonts w:ascii="Calibri" w:cs="Calibri" w:eastAsia="Calibri" w:hAnsi="Calibri"/>
          <w:b/>
          <w:bCs/>
          <w:color w:val="1F3864"/>
          <w:sz w:val="26"/>
          <w:szCs w:val="26"/>
        </w:rPr>
        <w:t xml:space="preserve">1. Who needs this data</w:t>
      </w:r>
    </w:p>
    <w:p>
      <w:pPr>
        <w:spacing w:after="120" w:before="0" w:line="276"/>
      </w:pPr>
      <w:r>
        <w:rPr>
          <w:rFonts w:ascii="Calibri" w:cs="Calibri" w:eastAsia="Calibri" w:hAnsi="Calibri"/>
          <w:color w:val="000000"/>
          <w:sz w:val="21"/>
          <w:szCs w:val="21"/>
        </w:rPr>
        <w:t xml:space="preserve">The consumers sit in two tiers: a federal body that allocates funding, and non-governmental providers that deliver the programmes and report results back.</w:t>
      </w:r>
    </w:p>
    <w:p>
      <w:pPr>
        <w:spacing w:after="120" w:before="0" w:line="276"/>
      </w:pPr>
      <w:r>
        <w:rPr>
          <w:rFonts w:ascii="Calibri" w:cs="Calibri" w:eastAsia="Calibri" w:hAnsi="Calibri"/>
          <w:b/>
          <w:bCs/>
          <w:color w:val="000000"/>
          <w:sz w:val="21"/>
          <w:szCs w:val="21"/>
        </w:rPr>
        <w:t xml:space="preserve">Primary, the funder. </w:t>
      </w:r>
      <w:r>
        <w:rPr>
          <w:rFonts w:ascii="Calibri" w:cs="Calibri" w:eastAsia="Calibri" w:hAnsi="Calibri"/>
          <w:sz w:val="21"/>
          <w:szCs w:val="21"/>
        </w:rPr>
        <w:t xml:space="preserve">The US Department of Labor, Employment and Training Administration, which administered federally funded adult job training under the Job Training Partnership Act. It sets national funding priorities for the coming cycle.</w:t>
      </w:r>
    </w:p>
    <w:p>
      <w:pPr>
        <w:spacing w:after="120" w:before="0" w:line="276"/>
      </w:pPr>
      <w:r>
        <w:rPr>
          <w:rFonts w:ascii="Calibri" w:cs="Calibri" w:eastAsia="Calibri" w:hAnsi="Calibri"/>
          <w:b/>
          <w:bCs/>
          <w:color w:val="000000"/>
          <w:sz w:val="21"/>
          <w:szCs w:val="21"/>
        </w:rPr>
        <w:t xml:space="preserve">Secondary, the delivery partners. </w:t>
      </w:r>
      <w:r>
        <w:rPr>
          <w:rFonts w:ascii="Calibri" w:cs="Calibri" w:eastAsia="Calibri" w:hAnsi="Calibri"/>
          <w:sz w:val="21"/>
          <w:szCs w:val="21"/>
        </w:rPr>
        <w:t xml:space="preserve">Non-governmental and non-profit service providers of the Goodwill Industries, United Way and National Urban League type, together with local workforce boards. They run the training, apply for the funding, and are contractually required to report participant outcomes back to the Administration.</w:t>
      </w:r>
    </w:p>
    <w:p>
      <w:pPr>
        <w:spacing w:after="120" w:before="0" w:line="276"/>
      </w:pPr>
      <w:r>
        <w:rPr>
          <w:rFonts w:ascii="Calibri" w:cs="Calibri" w:eastAsia="Calibri" w:hAnsi="Calibri"/>
          <w:b/>
          <w:bCs/>
          <w:color w:val="000000"/>
          <w:sz w:val="21"/>
          <w:szCs w:val="21"/>
        </w:rPr>
        <w:t xml:space="preserve">Third, the departmental evaluation unit, </w:t>
      </w:r>
      <w:r>
        <w:rPr>
          <w:rFonts w:ascii="Calibri" w:cs="Calibri" w:eastAsia="Calibri" w:hAnsi="Calibri"/>
          <w:sz w:val="21"/>
          <w:szCs w:val="21"/>
        </w:rPr>
        <w:t xml:space="preserve">which must later justify the spend to Congress.</w:t>
      </w:r>
    </w:p>
    <w:p>
      <w:pPr>
        <w:spacing w:after="120" w:before="0" w:line="276"/>
      </w:pPr>
      <w:r>
        <w:rPr>
          <w:rFonts w:ascii="Calibri" w:cs="Calibri" w:eastAsia="Calibri" w:hAnsi="Calibri"/>
          <w:color w:val="000000"/>
          <w:sz w:val="21"/>
          <w:szCs w:val="21"/>
        </w:rPr>
        <w:t xml:space="preserve">This two-tier structure is what makes section 3.3 a serious finding and not an inconvenience. Money flows down to providers and outcome data has to flow back up, and that return path needs records that can be linked.</w:t>
      </w:r>
    </w:p>
    <w:p>
      <w:pPr>
        <w:pStyle w:val="Heading1"/>
        <w:keepNext/>
        <w:spacing w:after="140" w:before="320"/>
      </w:pPr>
      <w:r>
        <w:rPr>
          <w:rFonts w:ascii="Calibri" w:cs="Calibri" w:eastAsia="Calibri" w:hAnsi="Calibri"/>
          <w:b/>
          <w:bCs/>
          <w:color w:val="1F3864"/>
          <w:sz w:val="26"/>
          <w:szCs w:val="26"/>
        </w:rPr>
        <w:t xml:space="preserve">2. The decision this data supports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100"/>
        <w:gridCol w:w="6926"/>
      </w:tblGrid>
      <w:tr>
        <w:trPr>
          <w:tblHeader w:val="false"/>
        </w:trPr>
        <w:tc>
          <w:tcPr>
            <w:tcW w:type="dxa" w:w="21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The decision</w:t>
            </w:r>
          </w:p>
        </w:tc>
        <w:tc>
          <w:tcPr>
            <w:tcW w:type="dxa" w:w="69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How to divide a fixed annual training budget across occupation and education segments: which segments receive funded places, and how many.</w:t>
            </w:r>
          </w:p>
        </w:tc>
      </w:tr>
      <w:tr>
        <w:trPr>
          <w:tblHeader w:val="false"/>
        </w:trPr>
        <w:tc>
          <w:tcPr>
            <w:tcW w:type="dxa" w:w="21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Success measure</w:t>
            </w:r>
          </w:p>
        </w:tc>
        <w:tc>
          <w:tcPr>
            <w:tcW w:type="dxa" w:w="69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Participants who move from the </w:t>
            </w:r>
            <w:r>
              <w:rPr>
                <w:rFonts w:ascii="Consolas" w:cs="Consolas" w:eastAsia="Consolas" w:hAnsi="Consolas"/>
                <w:color w:val="1F3864"/>
                <w:sz w:val="19"/>
                <w:szCs w:val="19"/>
              </w:rPr>
              <w:t xml:space="preserve">&lt;=50K</w:t>
            </w:r>
            <w:r>
              <w:rPr>
                <w:rFonts w:ascii="Calibri" w:cs="Calibri" w:eastAsia="Calibri" w:hAnsi="Calibri"/>
                <w:color w:val="000000"/>
                <w:sz w:val="19"/>
                <w:szCs w:val="19"/>
              </w:rPr>
              <w:t xml:space="preserve"> bracket to </w:t>
            </w:r>
            <w:r>
              <w:rPr>
                <w:rFonts w:ascii="Consolas" w:cs="Consolas" w:eastAsia="Consolas" w:hAnsi="Consolas"/>
                <w:color w:val="1F3864"/>
                <w:sz w:val="19"/>
                <w:szCs w:val="19"/>
              </w:rPr>
              <w:t xml:space="preserve">&gt;50K</w:t>
            </w:r>
            <w:r>
              <w:rPr>
                <w:rFonts w:ascii="Calibri" w:cs="Calibri" w:eastAsia="Calibri" w:hAnsi="Calibri"/>
                <w:color w:val="000000"/>
                <w:sz w:val="19"/>
                <w:szCs w:val="19"/>
              </w:rPr>
              <w:t xml:space="preserve"> within 24 months of completing training.</w:t>
            </w:r>
          </w:p>
        </w:tc>
      </w:tr>
      <w:tr>
        <w:trPr>
          <w:tblHeader w:val="false"/>
        </w:trPr>
        <w:tc>
          <w:tcPr>
            <w:tcW w:type="dxa" w:w="21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Cadence</w:t>
            </w:r>
          </w:p>
        </w:tc>
        <w:tc>
          <w:tcPr>
            <w:tcW w:type="dxa" w:w="69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Set annually, reviewed at mid-year.</w:t>
            </w:r>
          </w:p>
        </w:tc>
      </w:tr>
    </w:tbl>
    <w:p>
      <w:pPr>
        <w:spacing w:after="140"/>
      </w:pPr>
    </w:p>
    <w:p>
      <w:pPr>
        <w:spacing w:after="120" w:before="0" w:line="276"/>
      </w:pPr>
      <w:r>
        <w:rPr>
          <w:rFonts w:ascii="Calibri" w:cs="Calibri" w:eastAsia="Calibri" w:hAnsi="Calibri"/>
          <w:b/>
          <w:bCs/>
          <w:color w:val="000000"/>
          <w:sz w:val="21"/>
          <w:szCs w:val="21"/>
        </w:rPr>
        <w:t xml:space="preserve">One constraint applies before any defect is considered: the allocation cannot be geographic. </w:t>
      </w:r>
      <w:r>
        <w:rPr>
          <w:rFonts w:ascii="Calibri" w:cs="Calibri" w:eastAsia="Calibri" w:hAnsi="Calibri"/>
          <w:sz w:val="21"/>
          <w:szCs w:val="21"/>
        </w:rPr>
        <w:t xml:space="preserve">Training funds are normally allocated by place. This file contains no US geography at all. There is no state, county or region field, and </w:t>
      </w:r>
      <w:r>
        <w:rPr>
          <w:rFonts w:ascii="Consolas" w:cs="Consolas" w:eastAsia="Consolas" w:hAnsi="Consolas"/>
          <w:color w:val="1F3864"/>
          <w:sz w:val="19"/>
          <w:szCs w:val="19"/>
        </w:rPr>
        <w:t xml:space="preserve">native.country</w:t>
      </w:r>
      <w:r>
        <w:rPr>
          <w:rFonts w:ascii="Calibri" w:cs="Calibri" w:eastAsia="Calibri" w:hAnsi="Calibri"/>
          <w:sz w:val="21"/>
          <w:szCs w:val="21"/>
        </w:rPr>
        <w:t xml:space="preserve"> records country of birth, not residence. The allocation must therefore target kinds of worker and not areas. Any place-based split would need a second data source.</w:t>
      </w:r>
    </w:p>
    <w:p>
      <w:pPr>
        <w:spacing w:after="120" w:before="0" w:line="276"/>
      </w:pPr>
      <w:r>
        <w:rPr>
          <w:rFonts w:ascii="Calibri" w:cs="Calibri" w:eastAsia="Calibri" w:hAnsi="Calibri"/>
          <w:color w:val="000000"/>
          <w:sz w:val="21"/>
          <w:szCs w:val="21"/>
        </w:rPr>
        <w:t xml:space="preserve">Two quantities have to be reliable for the decision to work: a count of low-income working-age adults per segment, which gives the size of the need, and an income and asset profile per segment, which gives its depth. The eligible pool is 16,005 records, being adults aged 25 to 54 in the low-income bracket, or 49.2 per cent of the file.</w:t>
      </w:r>
    </w:p>
    <w:p>
      <w:pPr>
        <w:pStyle w:val="Heading1"/>
        <w:keepNext/>
        <w:spacing w:after="140" w:before="320"/>
      </w:pPr>
      <w:r>
        <w:rPr>
          <w:rFonts w:ascii="Calibri" w:cs="Calibri" w:eastAsia="Calibri" w:hAnsi="Calibri"/>
          <w:b/>
          <w:bCs/>
          <w:color w:val="1F3864"/>
          <w:sz w:val="26"/>
          <w:szCs w:val="26"/>
        </w:rPr>
        <w:t xml:space="preserve">3. What is broken now</w:t>
      </w:r>
    </w:p>
    <w:p>
      <w:pPr>
        <w:pStyle w:val="Heading2"/>
        <w:keepNext/>
        <w:spacing w:after="100" w:before="240"/>
      </w:pPr>
      <w:r>
        <w:rPr>
          <w:rFonts w:ascii="Calibri" w:cs="Calibri" w:eastAsia="Calibri" w:hAnsi="Calibri"/>
          <w:b/>
          <w:bCs/>
          <w:color w:val="1F3864"/>
          <w:sz w:val="22"/>
          <w:szCs w:val="22"/>
        </w:rPr>
        <w:t xml:space="preserve">3.1 One worker in eighteen cannot be segmented, and the gap is biased</w:t>
      </w:r>
    </w:p>
    <w:p>
      <w:pPr>
        <w:spacing w:after="120" w:before="0" w:line="276"/>
      </w:pPr>
      <w:r>
        <w:rPr>
          <w:rFonts w:ascii="Consolas" w:cs="Consolas" w:eastAsia="Consolas" w:hAnsi="Consolas"/>
          <w:color w:val="1F3864"/>
          <w:sz w:val="19"/>
          <w:szCs w:val="19"/>
        </w:rPr>
        <w:t xml:space="preserve">occupation</w:t>
      </w:r>
      <w:r>
        <w:rPr>
          <w:rFonts w:ascii="Calibri" w:cs="Calibri" w:eastAsia="Calibri" w:hAnsi="Calibri"/>
          <w:sz w:val="21"/>
          <w:szCs w:val="21"/>
        </w:rPr>
        <w:t xml:space="preserve"> is the allocation key, and 1,843 records, 5.7 per cent of the file, hold </w:t>
      </w:r>
      <w:r>
        <w:rPr>
          <w:rFonts w:ascii="Consolas" w:cs="Consolas" w:eastAsia="Consolas" w:hAnsi="Consolas"/>
          <w:color w:val="1F3864"/>
          <w:sz w:val="19"/>
          <w:szCs w:val="19"/>
        </w:rPr>
        <w:t xml:space="preserve">?</w:t>
      </w:r>
      <w:r>
        <w:rPr>
          <w:rFonts w:ascii="Calibri" w:cs="Calibri" w:eastAsia="Calibri" w:hAnsi="Calibri"/>
          <w:sz w:val="21"/>
          <w:szCs w:val="21"/>
        </w:rPr>
        <w:t xml:space="preserve"> in place of an occupation. Because the missingness was written as a string, </w:t>
      </w:r>
      <w:r>
        <w:rPr>
          <w:rFonts w:ascii="Consolas" w:cs="Consolas" w:eastAsia="Consolas" w:hAnsi="Consolas"/>
          <w:color w:val="1F3864"/>
          <w:sz w:val="19"/>
          <w:szCs w:val="19"/>
        </w:rPr>
        <w:t xml:space="preserve">df.isna()</w:t>
      </w:r>
      <w:r>
        <w:rPr>
          <w:rFonts w:ascii="Calibri" w:cs="Calibri" w:eastAsia="Calibri" w:hAnsi="Calibri"/>
          <w:sz w:val="21"/>
          <w:szCs w:val="21"/>
        </w:rPr>
        <w:t xml:space="preserve"> reports zero nulls across all fifteen columns. The gap is invisible to standard validation and the records are silently dropped by most tooling.</w:t>
      </w:r>
    </w:p>
    <w:p>
      <w:pPr>
        <w:spacing w:after="120" w:before="0" w:line="276"/>
      </w:pPr>
      <w:r>
        <w:rPr>
          <w:rFonts w:ascii="Calibri" w:cs="Calibri" w:eastAsia="Calibri" w:hAnsi="Calibri"/>
          <w:color w:val="000000"/>
          <w:sz w:val="21"/>
          <w:szCs w:val="21"/>
        </w:rPr>
        <w:t xml:space="preserve">The missingness is not random. Compared with the rest of the file, the affected records are older, lower paid and only marginally attached to work.</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4026"/>
        <w:gridCol w:w="2500"/>
        <w:gridCol w:w="2500"/>
      </w:tblGrid>
      <w:tr>
        <w:trPr>
          <w:tblHeader/>
        </w:trPr>
        <w:tc>
          <w:tcPr>
            <w:tcW w:type="dxa" w:w="40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
            </w:r>
          </w:p>
        </w:tc>
        <w:tc>
          <w:tcPr>
            <w:tcW w:type="dxa" w:w="25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Records with no occupation</w:t>
            </w:r>
          </w:p>
        </w:tc>
        <w:tc>
          <w:tcPr>
            <w:tcW w:type="dxa" w:w="25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Rest of the file</w:t>
            </w:r>
          </w:p>
        </w:tc>
      </w:tr>
      <w:tr>
        <w:trPr>
          <w:tblHeader w:val="false"/>
        </w:trPr>
        <w:tc>
          <w:tcPr>
            <w:tcW w:type="dxa" w:w="40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Aged 65 or over</w:t>
            </w:r>
          </w:p>
        </w:tc>
        <w:tc>
          <w:tcPr>
            <w:tcW w:type="dxa" w:w="2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18.7%</w:t>
            </w:r>
          </w:p>
        </w:tc>
        <w:tc>
          <w:tcPr>
            <w:tcW w:type="dxa" w:w="2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w:t>
            </w:r>
          </w:p>
        </w:tc>
      </w:tr>
      <w:tr>
        <w:trPr>
          <w:tblHeader w:val="false"/>
        </w:trPr>
        <w:tc>
          <w:tcPr>
            <w:tcW w:type="dxa" w:w="40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Earning above 50K</w:t>
            </w:r>
          </w:p>
        </w:tc>
        <w:tc>
          <w:tcPr>
            <w:tcW w:type="dxa" w:w="2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10.4%</w:t>
            </w:r>
          </w:p>
        </w:tc>
        <w:tc>
          <w:tcPr>
            <w:tcW w:type="dxa" w:w="2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24.9%</w:t>
            </w:r>
          </w:p>
        </w:tc>
      </w:tr>
      <w:tr>
        <w:trPr>
          <w:tblHeader w:val="false"/>
        </w:trPr>
        <w:tc>
          <w:tcPr>
            <w:tcW w:type="dxa" w:w="40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Mean hours per week</w:t>
            </w:r>
          </w:p>
        </w:tc>
        <w:tc>
          <w:tcPr>
            <w:tcW w:type="dxa" w:w="2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31.9</w:t>
            </w:r>
          </w:p>
        </w:tc>
        <w:tc>
          <w:tcPr>
            <w:tcW w:type="dxa" w:w="2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40.9</w:t>
            </w:r>
          </w:p>
        </w:tc>
      </w:tr>
    </w:tbl>
    <w:p>
      <w:pPr>
        <w:spacing w:after="200" w:before="80" w:line="240"/>
      </w:pPr>
      <w:r>
        <w:rPr>
          <w:rFonts w:ascii="Calibri" w:cs="Calibri" w:eastAsia="Calibri" w:hAnsi="Calibri"/>
          <w:i/>
          <w:iCs/>
          <w:color w:val="595959"/>
          <w:sz w:val="18"/>
          <w:szCs w:val="18"/>
        </w:rPr>
        <w:t xml:space="preserve">Table 1. The missing-occupation records against everyone else. These are the workers the programme exists to serve, and they are the ones the encoding hides.</w:t>
      </w:r>
    </w:p>
    <w:p>
      <w:pPr>
        <w:spacing w:after="120" w:before="0" w:line="276"/>
      </w:pPr>
      <w:r>
        <w:rPr>
          <w:rFonts w:ascii="Calibri" w:cs="Calibri" w:eastAsia="Calibri" w:hAnsi="Calibri"/>
          <w:color w:val="000000"/>
          <w:sz w:val="21"/>
          <w:szCs w:val="21"/>
        </w:rPr>
        <w:t xml:space="preserve">520 of the 16,005 eligible candidates cannot be assigned to a segment at all.</w:t>
      </w:r>
    </w:p>
    <w:p>
      <w:pPr>
        <w:spacing w:after="120" w:before="0" w:line="276"/>
      </w:pPr>
      <w:r>
        <w:rPr>
          <w:rFonts w:ascii="Calibri" w:cs="Calibri" w:eastAsia="Calibri" w:hAnsi="Calibri"/>
          <w:b/>
          <w:bCs/>
          <w:color w:val="000000"/>
          <w:sz w:val="21"/>
          <w:szCs w:val="21"/>
        </w:rPr>
        <w:t xml:space="preserve">Consequence. </w:t>
      </w:r>
      <w:r>
        <w:rPr>
          <w:rFonts w:ascii="Calibri" w:cs="Calibri" w:eastAsia="Calibri" w:hAnsi="Calibri"/>
          <w:sz w:val="21"/>
          <w:szCs w:val="21"/>
        </w:rPr>
        <w:t xml:space="preserve">Silently discarding these records under-counts the neediest segments and biases the budget away from them.</w:t>
      </w:r>
    </w:p>
    <w:p>
      <w:pPr>
        <w:pStyle w:val="Heading2"/>
        <w:keepNext/>
        <w:spacing w:after="100" w:before="240"/>
      </w:pPr>
      <w:r>
        <w:rPr>
          <w:rFonts w:ascii="Calibri" w:cs="Calibri" w:eastAsia="Calibri" w:hAnsi="Calibri"/>
          <w:b/>
          <w:bCs/>
          <w:color w:val="1F3864"/>
          <w:sz w:val="22"/>
          <w:szCs w:val="22"/>
        </w:rPr>
        <w:t xml:space="preserve">3.2 Segment ranking by financial need is distorted by a placeholder</w:t>
      </w:r>
    </w:p>
    <w:p>
      <w:pPr>
        <w:spacing w:after="120" w:before="0" w:line="276"/>
      </w:pPr>
      <w:r>
        <w:rPr>
          <w:rFonts w:ascii="Consolas" w:cs="Consolas" w:eastAsia="Consolas" w:hAnsi="Consolas"/>
          <w:color w:val="1F3864"/>
          <w:sz w:val="19"/>
          <w:szCs w:val="19"/>
        </w:rPr>
        <w:t xml:space="preserve">capital.gain</w:t>
      </w:r>
      <w:r>
        <w:rPr>
          <w:rFonts w:ascii="Calibri" w:cs="Calibri" w:eastAsia="Calibri" w:hAnsi="Calibri"/>
          <w:sz w:val="21"/>
          <w:szCs w:val="21"/>
        </w:rPr>
        <w:t xml:space="preserve"> holds 99999 on 159 records. The next value down is 41,310, and every one of the 159 sits in the </w:t>
      </w:r>
      <w:r>
        <w:rPr>
          <w:rFonts w:ascii="Consolas" w:cs="Consolas" w:eastAsia="Consolas" w:hAnsi="Consolas"/>
          <w:color w:val="1F3864"/>
          <w:sz w:val="19"/>
          <w:szCs w:val="19"/>
        </w:rPr>
        <w:t xml:space="preserve">&gt;50K</w:t>
      </w:r>
      <w:r>
        <w:rPr>
          <w:rFonts w:ascii="Calibri" w:cs="Calibri" w:eastAsia="Calibri" w:hAnsi="Calibri"/>
          <w:sz w:val="21"/>
          <w:szCs w:val="21"/>
        </w:rPr>
        <w:t xml:space="preserve"> bracket. This is a censoring sentinel and not a sum of money. It concentrates in high-status occupations, with 67 of the 159 in </w:t>
      </w:r>
      <w:r>
        <w:rPr>
          <w:rFonts w:ascii="Consolas" w:cs="Consolas" w:eastAsia="Consolas" w:hAnsi="Consolas"/>
          <w:color w:val="1F3864"/>
          <w:sz w:val="19"/>
          <w:szCs w:val="19"/>
        </w:rPr>
        <w:t xml:space="preserve">Prof-specialty</w:t>
      </w:r>
      <w:r>
        <w:rPr>
          <w:rFonts w:ascii="Calibri" w:cs="Calibri" w:eastAsia="Calibri" w:hAnsi="Calibri"/>
          <w:sz w:val="21"/>
          <w:szCs w:val="21"/>
        </w:rPr>
        <w:t xml:space="preserve"> and 42 in </w:t>
      </w:r>
      <w:r>
        <w:rPr>
          <w:rFonts w:ascii="Consolas" w:cs="Consolas" w:eastAsia="Consolas" w:hAnsi="Consolas"/>
          <w:color w:val="1F3864"/>
          <w:sz w:val="19"/>
          <w:szCs w:val="19"/>
        </w:rPr>
        <w:t xml:space="preserve">Exec-managerial</w:t>
      </w:r>
      <w:r>
        <w:rPr>
          <w:rFonts w:ascii="Calibri" w:cs="Calibri" w:eastAsia="Calibri" w:hAnsi="Calibri"/>
          <w:sz w:val="21"/>
          <w:szCs w:val="21"/>
        </w:rPr>
        <w:t xml:space="preserve">, which inflates the </w:t>
      </w:r>
      <w:r>
        <w:rPr>
          <w:rFonts w:ascii="Consolas" w:cs="Consolas" w:eastAsia="Consolas" w:hAnsi="Consolas"/>
          <w:color w:val="1F3864"/>
          <w:sz w:val="19"/>
          <w:szCs w:val="19"/>
        </w:rPr>
        <w:t xml:space="preserve">Prof-specialty</w:t>
      </w:r>
      <w:r>
        <w:rPr>
          <w:rFonts w:ascii="Calibri" w:cs="Calibri" w:eastAsia="Calibri" w:hAnsi="Calibri"/>
          <w:sz w:val="21"/>
          <w:szCs w:val="21"/>
        </w:rPr>
        <w:t xml:space="preserve"> mean by a factor of 2.42, from $1,127 to $2,727.</w:t>
      </w:r>
    </w:p>
    <w:p>
      <w:pPr>
        <w:spacing w:after="120" w:before="0" w:line="276"/>
      </w:pPr>
      <w:r>
        <w:rPr>
          <w:rFonts w:ascii="Calibri" w:cs="Calibri" w:eastAsia="Calibri" w:hAnsi="Calibri"/>
          <w:color w:val="000000"/>
          <w:sz w:val="21"/>
          <w:szCs w:val="21"/>
        </w:rPr>
        <w:t xml:space="preserve">Rank the fourteen occupations by mean capital gain and nine of them change position once the sentinel is excluded. The top two swap places. Farming-fishing is the clearest illustration: it is the only occupation with no sentinel records at all, so its mean of $590 does not move, and it still rises from seventh to fourth purely because the inflated occupations above it fall away.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426"/>
        <w:gridCol w:w="1900"/>
        <w:gridCol w:w="1000"/>
        <w:gridCol w:w="1900"/>
        <w:gridCol w:w="1800"/>
      </w:tblGrid>
      <w:tr>
        <w:trPr>
          <w:tblHeader/>
        </w:trPr>
        <w:tc>
          <w:tcPr>
            <w:tcW w:type="dxa" w:w="24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Occupation</w:t>
            </w:r>
          </w:p>
        </w:tc>
        <w:tc>
          <w:tcPr>
            <w:tcW w:type="dxa" w:w="19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Mean, with 99999</w:t>
            </w:r>
          </w:p>
        </w:tc>
        <w:tc>
          <w:tcPr>
            <w:tcW w:type="dxa" w:w="10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Rank</w:t>
            </w:r>
          </w:p>
        </w:tc>
        <w:tc>
          <w:tcPr>
            <w:tcW w:type="dxa" w:w="19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Mean, excluded</w:t>
            </w:r>
          </w:p>
        </w:tc>
        <w:tc>
          <w:tcPr>
            <w:tcW w:type="dxa" w:w="18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Rank</w:t>
            </w:r>
          </w:p>
        </w:tc>
      </w:tr>
      <w:tr>
        <w:trPr>
          <w:tblHeader w:val="false"/>
        </w:trPr>
        <w:tc>
          <w:tcPr>
            <w:tcW w:type="dxa" w:w="24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Prof-specialty</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$2,727</w:t>
            </w:r>
          </w:p>
        </w:tc>
        <w:tc>
          <w:tcPr>
            <w:tcW w:type="dxa" w:w="1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$1,127</w:t>
            </w:r>
          </w:p>
        </w:tc>
        <w:tc>
          <w:tcPr>
            <w:tcW w:type="dxa" w:w="18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w:t>
            </w:r>
          </w:p>
        </w:tc>
      </w:tr>
      <w:tr>
        <w:trPr>
          <w:tblHeader w:val="false"/>
        </w:trPr>
        <w:tc>
          <w:tcPr>
            <w:tcW w:type="dxa" w:w="24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Exec-managerial</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$2,263</w:t>
            </w:r>
          </w:p>
        </w:tc>
        <w:tc>
          <w:tcPr>
            <w:tcW w:type="dxa" w:w="1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$1,243</w:t>
            </w:r>
          </w:p>
        </w:tc>
        <w:tc>
          <w:tcPr>
            <w:tcW w:type="dxa" w:w="18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w:t>
            </w:r>
          </w:p>
        </w:tc>
      </w:tr>
      <w:tr>
        <w:trPr>
          <w:tblHeader w:val="false"/>
        </w:trPr>
        <w:tc>
          <w:tcPr>
            <w:tcW w:type="dxa" w:w="24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Protective-serv</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$708</w:t>
            </w:r>
          </w:p>
        </w:tc>
        <w:tc>
          <w:tcPr>
            <w:tcW w:type="dxa" w:w="1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4</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$555</w:t>
            </w:r>
          </w:p>
        </w:tc>
        <w:tc>
          <w:tcPr>
            <w:tcW w:type="dxa" w:w="18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w:t>
            </w:r>
          </w:p>
        </w:tc>
      </w:tr>
      <w:tr>
        <w:trPr>
          <w:tblHeader w:val="false"/>
        </w:trPr>
        <w:tc>
          <w:tcPr>
            <w:tcW w:type="dxa" w:w="24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Farming-fishing</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$590</w:t>
            </w:r>
          </w:p>
        </w:tc>
        <w:tc>
          <w:tcPr>
            <w:tcW w:type="dxa" w:w="1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7</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$590</w:t>
            </w:r>
          </w:p>
        </w:tc>
        <w:tc>
          <w:tcPr>
            <w:tcW w:type="dxa" w:w="18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4</w:t>
            </w:r>
          </w:p>
        </w:tc>
      </w:tr>
    </w:tbl>
    <w:p>
      <w:pPr>
        <w:spacing w:after="200" w:before="80" w:line="240"/>
      </w:pPr>
      <w:r>
        <w:rPr>
          <w:rFonts w:ascii="Calibri" w:cs="Calibri" w:eastAsia="Calibri" w:hAnsi="Calibri"/>
          <w:i/>
          <w:iCs/>
          <w:color w:val="595959"/>
          <w:sz w:val="18"/>
          <w:szCs w:val="18"/>
        </w:rPr>
        <w:t xml:space="preserve">Table 2. Four of the fourteen occupations, showing the largest rank movements. Farming-fishing is unchanged in value and still moves three places.</w:t>
      </w:r>
    </w:p>
    <w:p>
      <w:pPr>
        <w:spacing w:after="120" w:before="0" w:line="276"/>
      </w:pPr>
      <w:r>
        <w:rPr>
          <w:rFonts w:ascii="Calibri" w:cs="Calibri" w:eastAsia="Calibri" w:hAnsi="Calibri"/>
          <w:b/>
          <w:bCs/>
          <w:color w:val="000000"/>
          <w:sz w:val="21"/>
          <w:szCs w:val="21"/>
        </w:rPr>
        <w:t xml:space="preserve">Consequence. </w:t>
      </w:r>
      <w:r>
        <w:rPr>
          <w:rFonts w:ascii="Calibri" w:cs="Calibri" w:eastAsia="Calibri" w:hAnsi="Calibri"/>
          <w:sz w:val="21"/>
          <w:szCs w:val="21"/>
        </w:rPr>
        <w:t xml:space="preserve">A budget allocated on that ranking is allocated on an artifact of the encoding.</w:t>
      </w:r>
    </w:p>
    <w:p>
      <w:pPr>
        <w:pStyle w:val="Heading2"/>
        <w:keepNext/>
        <w:spacing w:after="100" w:before="240"/>
      </w:pPr>
      <w:r>
        <w:rPr>
          <w:rFonts w:ascii="Calibri" w:cs="Calibri" w:eastAsia="Calibri" w:hAnsi="Calibri"/>
          <w:b/>
          <w:bCs/>
          <w:color w:val="1F3864"/>
          <w:sz w:val="22"/>
          <w:szCs w:val="22"/>
        </w:rPr>
        <w:t xml:space="preserve">3.3 There is no primary key, so the data cannot be updated, joined or audited</w:t>
      </w:r>
    </w:p>
    <w:p>
      <w:pPr>
        <w:spacing w:after="120" w:before="0" w:line="276"/>
      </w:pPr>
      <w:r>
        <w:rPr>
          <w:rFonts w:ascii="Calibri" w:cs="Calibri" w:eastAsia="Calibri" w:hAnsi="Calibri"/>
          <w:sz w:val="21"/>
          <w:szCs w:val="21"/>
        </w:rPr>
        <w:t xml:space="preserve">There is no identifier column, and </w:t>
      </w:r>
      <w:r>
        <w:rPr>
          <w:rFonts w:ascii="Consolas" w:cs="Consolas" w:eastAsia="Consolas" w:hAnsi="Consolas"/>
          <w:color w:val="1F3864"/>
          <w:sz w:val="19"/>
          <w:szCs w:val="19"/>
        </w:rPr>
        <w:t xml:space="preserve">fnlwgt</w:t>
      </w:r>
      <w:r>
        <w:rPr>
          <w:rFonts w:ascii="Calibri" w:cs="Calibri" w:eastAsia="Calibri" w:hAnsi="Calibri"/>
          <w:sz w:val="21"/>
          <w:szCs w:val="21"/>
        </w:rPr>
        <w:t xml:space="preserve"> cannot serve as one: 17,231 of the 32,561 rows share a value with at least one other row. Twenty-four rows are exact duplicates, with no way to tell a data-entry duplicate from two distinct people who match on all fourteen attributes.</w:t>
      </w:r>
    </w:p>
    <w:p>
      <w:pPr>
        <w:spacing w:after="120" w:before="0" w:line="276"/>
      </w:pPr>
      <w:r>
        <w:rPr>
          <w:rFonts w:ascii="Calibri" w:cs="Calibri" w:eastAsia="Calibri" w:hAnsi="Calibri"/>
          <w:color w:val="000000"/>
          <w:sz w:val="21"/>
          <w:szCs w:val="21"/>
        </w:rPr>
        <w:t xml:space="preserve">The immediate consequence is that no incremental refresh is possible and every load has to be a full replace. The more serious consequence is for the structure described in section 1. The data cannot be joined to the enrolment and outcome records that the delivery providers report back. The Administration can push funding down to providers but cannot link their returns to the population it allocated against. The success measure in section 2 is therefore unmeasurable, and a decision that commits public money has no auditable lineage.</w:t>
      </w:r>
    </w:p>
    <w:p>
      <w:pPr>
        <w:pStyle w:val="Heading1"/>
        <w:keepNext/>
        <w:spacing w:after="140" w:before="320"/>
      </w:pPr>
      <w:r>
        <w:rPr>
          <w:rFonts w:ascii="Calibri" w:cs="Calibri" w:eastAsia="Calibri" w:hAnsi="Calibri"/>
          <w:b/>
          <w:bCs/>
          <w:color w:val="1F3864"/>
          <w:sz w:val="26"/>
          <w:szCs w:val="26"/>
        </w:rPr>
        <w:t xml:space="preserve">4. Two further constraints on the decision</w:t>
      </w:r>
    </w:p>
    <w:p>
      <w:pPr>
        <w:spacing w:after="120" w:before="0" w:line="276"/>
      </w:pPr>
      <w:r>
        <w:rPr>
          <w:rFonts w:ascii="Calibri" w:cs="Calibri" w:eastAsia="Calibri" w:hAnsi="Calibri"/>
          <w:sz w:val="21"/>
          <w:szCs w:val="21"/>
        </w:rPr>
        <w:t xml:space="preserve">93 of the 201 populated occupation and education segments hold fewer than 30 records, which is too thin to allocate against. The segmentation scheme has to be coarsened before use. Counting </w:t>
      </w:r>
      <w:r>
        <w:rPr>
          <w:rFonts w:ascii="Consolas" w:cs="Consolas" w:eastAsia="Consolas" w:hAnsi="Consolas"/>
          <w:color w:val="1F3864"/>
          <w:sz w:val="19"/>
          <w:szCs w:val="19"/>
        </w:rPr>
        <w:t xml:space="preserve">?</w:t>
      </w:r>
      <w:r>
        <w:rPr>
          <w:rFonts w:ascii="Calibri" w:cs="Calibri" w:eastAsia="Calibri" w:hAnsi="Calibri"/>
          <w:sz w:val="21"/>
          <w:szCs w:val="21"/>
        </w:rPr>
        <w:t xml:space="preserve"> as an occupation gives 97 of 217 instead, but that treats unassignable records as a category and contradicts section 3.1.</w:t>
      </w:r>
    </w:p>
    <w:p>
      <w:pPr>
        <w:spacing w:after="120" w:before="0" w:line="276"/>
      </w:pPr>
      <w:r>
        <w:rPr>
          <w:rFonts w:ascii="Calibri" w:cs="Calibri" w:eastAsia="Calibri" w:hAnsi="Calibri"/>
          <w:sz w:val="21"/>
          <w:szCs w:val="21"/>
        </w:rPr>
        <w:t xml:space="preserve">Sample counts cannot be scaled to population figures. </w:t>
      </w:r>
      <w:r>
        <w:rPr>
          <w:rFonts w:ascii="Consolas" w:cs="Consolas" w:eastAsia="Consolas" w:hAnsi="Consolas"/>
          <w:color w:val="1F3864"/>
          <w:sz w:val="19"/>
          <w:szCs w:val="19"/>
        </w:rPr>
        <w:t xml:space="preserve">fnlwgt</w:t>
      </w:r>
      <w:r>
        <w:rPr>
          <w:rFonts w:ascii="Calibri" w:cs="Calibri" w:eastAsia="Calibri" w:hAnsi="Calibri"/>
          <w:sz w:val="21"/>
          <w:szCs w:val="21"/>
        </w:rPr>
        <w:t xml:space="preserve"> is the survey weight, but weights are only comparable within a state and </w:t>
      </w:r>
      <w:r>
        <w:rPr>
          <w:rFonts w:ascii="Consolas" w:cs="Consolas" w:eastAsia="Consolas" w:hAnsi="Consolas"/>
          <w:color w:val="1F3864"/>
          <w:sz w:val="19"/>
          <w:szCs w:val="19"/>
        </w:rPr>
        <w:t xml:space="preserve">state</w:t>
      </w:r>
      <w:r>
        <w:rPr>
          <w:rFonts w:ascii="Calibri" w:cs="Calibri" w:eastAsia="Calibri" w:hAnsi="Calibri"/>
          <w:sz w:val="21"/>
          <w:szCs w:val="21"/>
        </w:rPr>
        <w:t xml:space="preserve"> was dropped from this extract. The Administration can rank segments by relative need and cannot state how many people a segment contains nationally. Appendix C sets out the evidence.</w:t>
      </w:r>
    </w:p>
    <w:p>
      <w:pPr>
        <w:pStyle w:val="Heading1"/>
        <w:keepNext/>
        <w:spacing w:after="140" w:before="320"/>
      </w:pPr>
      <w:r>
        <w:rPr>
          <w:rFonts w:ascii="Calibri" w:cs="Calibri" w:eastAsia="Calibri" w:hAnsi="Calibri"/>
          <w:b/>
          <w:bCs/>
          <w:color w:val="1F3864"/>
          <w:sz w:val="26"/>
          <w:szCs w:val="26"/>
        </w:rPr>
        <w:t xml:space="preserve">5. What fixed looks like</w:t>
      </w:r>
    </w:p>
    <w:p>
      <w:pPr>
        <w:pStyle w:val="ListParagraph"/>
        <w:numPr>
          <w:ilvl w:val="0"/>
          <w:numId w:val="2"/>
        </w:numPr>
        <w:spacing w:after="100" w:before="0" w:line="276"/>
      </w:pPr>
      <w:r>
        <w:rPr>
          <w:rFonts w:ascii="Consolas" w:cs="Consolas" w:eastAsia="Consolas" w:hAnsi="Consolas"/>
          <w:color w:val="1F3864"/>
          <w:sz w:val="19"/>
          <w:szCs w:val="19"/>
        </w:rPr>
        <w:t xml:space="preserve">?</w:t>
      </w:r>
      <w:r>
        <w:rPr>
          <w:rFonts w:ascii="Calibri" w:cs="Calibri" w:eastAsia="Calibri" w:hAnsi="Calibri"/>
          <w:sz w:val="21"/>
          <w:szCs w:val="21"/>
        </w:rPr>
        <w:t xml:space="preserve"> converted to explicit nulls under a documented missingness policy, retaining the 7 </w:t>
      </w:r>
      <w:r>
        <w:rPr>
          <w:rFonts w:ascii="Consolas" w:cs="Consolas" w:eastAsia="Consolas" w:hAnsi="Consolas"/>
          <w:color w:val="1F3864"/>
          <w:sz w:val="19"/>
          <w:szCs w:val="19"/>
        </w:rPr>
        <w:t xml:space="preserve">Never-worked</w:t>
      </w:r>
      <w:r>
        <w:rPr>
          <w:rFonts w:ascii="Calibri" w:cs="Calibri" w:eastAsia="Calibri" w:hAnsi="Calibri"/>
          <w:sz w:val="21"/>
          <w:szCs w:val="21"/>
        </w:rPr>
        <w:t xml:space="preserve"> records, which have no occupation at all and are correctly recorded.</w:t>
      </w:r>
    </w:p>
    <w:p>
      <w:pPr>
        <w:pStyle w:val="ListParagraph"/>
        <w:numPr>
          <w:ilvl w:val="0"/>
          <w:numId w:val="2"/>
        </w:numPr>
        <w:spacing w:after="100" w:before="0" w:line="276"/>
      </w:pPr>
      <w:r>
        <w:rPr>
          <w:rFonts w:ascii="Calibri" w:cs="Calibri" w:eastAsia="Calibri" w:hAnsi="Calibri"/>
          <w:sz w:val="21"/>
          <w:szCs w:val="21"/>
        </w:rPr>
        <w:t xml:space="preserve">Sentinel values flagged and excluded from aggregation instead of averaged: </w:t>
      </w:r>
      <w:r>
        <w:rPr>
          <w:rFonts w:ascii="Consolas" w:cs="Consolas" w:eastAsia="Consolas" w:hAnsi="Consolas"/>
          <w:color w:val="1F3864"/>
          <w:sz w:val="19"/>
          <w:szCs w:val="19"/>
        </w:rPr>
        <w:t xml:space="preserve">capital.gain</w:t>
      </w:r>
      <w:r>
        <w:rPr>
          <w:rFonts w:ascii="Calibri" w:cs="Calibri" w:eastAsia="Calibri" w:hAnsi="Calibri"/>
          <w:sz w:val="21"/>
          <w:szCs w:val="21"/>
        </w:rPr>
        <w:t xml:space="preserve"> 99999, </w:t>
      </w:r>
      <w:r>
        <w:rPr>
          <w:rFonts w:ascii="Consolas" w:cs="Consolas" w:eastAsia="Consolas" w:hAnsi="Consolas"/>
          <w:color w:val="1F3864"/>
          <w:sz w:val="19"/>
          <w:szCs w:val="19"/>
        </w:rPr>
        <w:t xml:space="preserve">age</w:t>
      </w:r>
      <w:r>
        <w:rPr>
          <w:rFonts w:ascii="Calibri" w:cs="Calibri" w:eastAsia="Calibri" w:hAnsi="Calibri"/>
          <w:sz w:val="21"/>
          <w:szCs w:val="21"/>
        </w:rPr>
        <w:t xml:space="preserve"> 90, and </w:t>
      </w:r>
      <w:r>
        <w:rPr>
          <w:rFonts w:ascii="Consolas" w:cs="Consolas" w:eastAsia="Consolas" w:hAnsi="Consolas"/>
          <w:color w:val="1F3864"/>
          <w:sz w:val="19"/>
          <w:szCs w:val="19"/>
        </w:rPr>
        <w:t xml:space="preserve">hours.per.week</w:t>
      </w:r>
      <w:r>
        <w:rPr>
          <w:rFonts w:ascii="Calibri" w:cs="Calibri" w:eastAsia="Calibri" w:hAnsi="Calibri"/>
          <w:sz w:val="21"/>
          <w:szCs w:val="21"/>
        </w:rPr>
        <w:t xml:space="preserve"> 99.</w:t>
      </w:r>
    </w:p>
    <w:p>
      <w:pPr>
        <w:pStyle w:val="ListParagraph"/>
        <w:numPr>
          <w:ilvl w:val="0"/>
          <w:numId w:val="2"/>
        </w:numPr>
        <w:spacing w:after="100" w:before="0" w:line="276"/>
      </w:pPr>
      <w:r>
        <w:rPr>
          <w:rFonts w:ascii="Calibri" w:cs="Calibri" w:eastAsia="Calibri" w:hAnsi="Calibri"/>
          <w:sz w:val="21"/>
          <w:szCs w:val="21"/>
        </w:rPr>
        <w:t xml:space="preserve">A surrogate key assigned at ingestion, with the duplicate-retention decision recorded alongside it.</w:t>
      </w:r>
    </w:p>
    <w:p>
      <w:pPr>
        <w:pStyle w:val="ListParagraph"/>
        <w:numPr>
          <w:ilvl w:val="0"/>
          <w:numId w:val="2"/>
        </w:numPr>
        <w:spacing w:after="100" w:before="0" w:line="276"/>
      </w:pPr>
      <w:r>
        <w:rPr>
          <w:rFonts w:ascii="Calibri" w:cs="Calibri" w:eastAsia="Calibri" w:hAnsi="Calibri"/>
          <w:sz w:val="21"/>
          <w:szCs w:val="21"/>
        </w:rPr>
        <w:t xml:space="preserve">A minimum segment size enforced and sparse cells rolled up.</w:t>
      </w:r>
    </w:p>
    <w:p>
      <w:pPr>
        <w:pStyle w:val="ListParagraph"/>
        <w:numPr>
          <w:ilvl w:val="0"/>
          <w:numId w:val="2"/>
        </w:numPr>
        <w:spacing w:after="100" w:before="0" w:line="276"/>
      </w:pPr>
      <w:r>
        <w:rPr>
          <w:rFonts w:ascii="Calibri" w:cs="Calibri" w:eastAsia="Calibri" w:hAnsi="Calibri"/>
          <w:sz w:val="21"/>
          <w:szCs w:val="21"/>
        </w:rPr>
        <w:t xml:space="preserve">Absolute population estimates published only once a state-level source has been joined in.</w:t>
      </w:r>
    </w:p>
    <w:p>
      <w:r>
        <w:br w:type="page"/>
      </w:r>
    </w:p>
    <w:p>
      <w:pPr>
        <w:pStyle w:val="Heading1"/>
        <w:keepNext/>
        <w:spacing w:after="140" w:before="320"/>
      </w:pPr>
      <w:r>
        <w:rPr>
          <w:rFonts w:ascii="Calibri" w:cs="Calibri" w:eastAsia="Calibri" w:hAnsi="Calibri"/>
          <w:b/>
          <w:bCs/>
          <w:color w:val="1F3864"/>
          <w:sz w:val="26"/>
          <w:szCs w:val="26"/>
        </w:rPr>
        <w:t xml:space="preserve">Appendix A. Evidence for the three defects</w:t>
      </w:r>
    </w:p>
    <w:p>
      <w:pPr>
        <w:pStyle w:val="Heading2"/>
        <w:keepNext/>
        <w:spacing w:after="100" w:before="240"/>
      </w:pPr>
      <w:r>
        <w:rPr>
          <w:rFonts w:ascii="Calibri" w:cs="Calibri" w:eastAsia="Calibri" w:hAnsi="Calibri"/>
          <w:b/>
          <w:bCs/>
          <w:color w:val="1F3864"/>
          <w:sz w:val="22"/>
          <w:szCs w:val="22"/>
        </w:rPr>
        <w:t xml:space="preserve">A.1 Gaps: missing values written as a question mark</w:t>
      </w:r>
    </w:p>
    <w:p>
      <w:pPr>
        <w:spacing w:after="120" w:before="0" w:line="276"/>
      </w:pPr>
      <w:r>
        <w:rPr>
          <w:rFonts w:ascii="Consolas" w:cs="Consolas" w:eastAsia="Consolas" w:hAnsi="Consolas"/>
          <w:color w:val="1F3864"/>
          <w:sz w:val="19"/>
          <w:szCs w:val="19"/>
        </w:rPr>
        <w:t xml:space="preserve">df.isna().sum()</w:t>
      </w:r>
      <w:r>
        <w:rPr>
          <w:rFonts w:ascii="Calibri" w:cs="Calibri" w:eastAsia="Calibri" w:hAnsi="Calibri"/>
          <w:sz w:val="21"/>
          <w:szCs w:val="21"/>
        </w:rPr>
        <w:t xml:space="preserve"> returns 0 for all fifteen columns, so the file appears complete. Missingness was encoded as the literal string </w:t>
      </w:r>
      <w:r>
        <w:rPr>
          <w:rFonts w:ascii="Consolas" w:cs="Consolas" w:eastAsia="Consolas" w:hAnsi="Consolas"/>
          <w:color w:val="1F3864"/>
          <w:sz w:val="19"/>
          <w:szCs w:val="19"/>
        </w:rPr>
        <w:t xml:space="preserve">"?"</w:t>
      </w:r>
      <w:r>
        <w:rPr>
          <w:rFonts w:ascii="Calibri" w:cs="Calibri" w:eastAsia="Calibri" w:hAnsi="Calibri"/>
          <w:sz w:val="21"/>
          <w:szCs w:val="21"/>
        </w:rPr>
        <w:t xml:space="preserve"> before the file was written, so pandas loads it as a valid category. 4,262 cells are affected across 2,399 records, or 7.4 per cent of the file.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026"/>
        <w:gridCol w:w="3000"/>
        <w:gridCol w:w="3000"/>
      </w:tblGrid>
      <w:tr>
        <w:trPr>
          <w:tblHeader/>
        </w:trPr>
        <w:tc>
          <w:tcPr>
            <w:tcW w:type="dxa" w:w="30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Column</w:t>
            </w:r>
          </w:p>
        </w:tc>
        <w:tc>
          <w:tcPr>
            <w:tcW w:type="dxa" w:w="30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Question marks</w:t>
            </w:r>
          </w:p>
        </w:tc>
        <w:tc>
          <w:tcPr>
            <w:tcW w:type="dxa" w:w="30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Share of records</w:t>
            </w:r>
          </w:p>
        </w:tc>
      </w:tr>
      <w:tr>
        <w:trPr>
          <w:tblHeader w:val="false"/>
        </w:trPr>
        <w:tc>
          <w:tcPr>
            <w:tcW w:type="dxa" w:w="30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occupation</w:t>
            </w:r>
          </w:p>
        </w:tc>
        <w:tc>
          <w:tcPr>
            <w:tcW w:type="dxa" w:w="3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1,843</w:t>
            </w:r>
          </w:p>
        </w:tc>
        <w:tc>
          <w:tcPr>
            <w:tcW w:type="dxa" w:w="3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5.66%</w:t>
            </w:r>
          </w:p>
        </w:tc>
      </w:tr>
      <w:tr>
        <w:trPr>
          <w:tblHeader w:val="false"/>
        </w:trPr>
        <w:tc>
          <w:tcPr>
            <w:tcW w:type="dxa" w:w="30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workclass</w:t>
            </w:r>
          </w:p>
        </w:tc>
        <w:tc>
          <w:tcPr>
            <w:tcW w:type="dxa" w:w="3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1,836</w:t>
            </w:r>
          </w:p>
        </w:tc>
        <w:tc>
          <w:tcPr>
            <w:tcW w:type="dxa" w:w="3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5.64%</w:t>
            </w:r>
          </w:p>
        </w:tc>
      </w:tr>
      <w:tr>
        <w:trPr>
          <w:tblHeader w:val="false"/>
        </w:trPr>
        <w:tc>
          <w:tcPr>
            <w:tcW w:type="dxa" w:w="30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native.country</w:t>
            </w:r>
          </w:p>
        </w:tc>
        <w:tc>
          <w:tcPr>
            <w:tcW w:type="dxa" w:w="3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583</w:t>
            </w:r>
          </w:p>
        </w:tc>
        <w:tc>
          <w:tcPr>
            <w:tcW w:type="dxa" w:w="3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1.79%</w:t>
            </w:r>
          </w:p>
        </w:tc>
      </w:tr>
    </w:tbl>
    <w:p>
      <w:pPr>
        <w:spacing w:after="200" w:before="80" w:line="240"/>
      </w:pPr>
      <w:r>
        <w:rPr>
          <w:rFonts w:ascii="Calibri" w:cs="Calibri" w:eastAsia="Calibri" w:hAnsi="Calibri"/>
          <w:i/>
          <w:iCs/>
          <w:color w:val="595959"/>
          <w:sz w:val="18"/>
          <w:szCs w:val="18"/>
        </w:rPr>
        <w:t xml:space="preserve">Table A1. Distribution of the disguised nulls across the three affected columns.</w:t>
      </w:r>
    </w:p>
    <w:p>
      <w:pPr>
        <w:spacing w:after="120" w:before="0" w:line="276"/>
      </w:pPr>
      <w:r>
        <w:rPr>
          <w:rFonts w:ascii="Calibri" w:cs="Calibri" w:eastAsia="Calibri" w:hAnsi="Calibri"/>
          <w:b/>
          <w:bCs/>
          <w:color w:val="000000"/>
          <w:sz w:val="21"/>
          <w:szCs w:val="21"/>
        </w:rPr>
        <w:t xml:space="preserve">Why this is genuine missingness. </w:t>
      </w:r>
      <w:r>
        <w:rPr>
          <w:rFonts w:ascii="Calibri" w:cs="Calibri" w:eastAsia="Calibri" w:hAnsi="Calibri"/>
          <w:sz w:val="21"/>
          <w:szCs w:val="21"/>
        </w:rPr>
        <w:t xml:space="preserve">A question mark has no meaning in any of the three domains, and the pattern is mechanical instead of semantic. </w:t>
      </w:r>
      <w:r>
        <w:rPr>
          <w:rFonts w:ascii="Consolas" w:cs="Consolas" w:eastAsia="Consolas" w:hAnsi="Consolas"/>
          <w:color w:val="1F3864"/>
          <w:sz w:val="19"/>
          <w:szCs w:val="19"/>
        </w:rPr>
        <w:t xml:space="preserve">workclass='?'</w:t>
      </w:r>
      <w:r>
        <w:rPr>
          <w:rFonts w:ascii="Calibri" w:cs="Calibri" w:eastAsia="Calibri" w:hAnsi="Calibri"/>
          <w:sz w:val="21"/>
          <w:szCs w:val="21"/>
        </w:rPr>
        <w:t xml:space="preserve"> and </w:t>
      </w:r>
      <w:r>
        <w:rPr>
          <w:rFonts w:ascii="Consolas" w:cs="Consolas" w:eastAsia="Consolas" w:hAnsi="Consolas"/>
          <w:color w:val="1F3864"/>
          <w:sz w:val="19"/>
          <w:szCs w:val="19"/>
        </w:rPr>
        <w:t xml:space="preserve">occupation='?'</w:t>
      </w:r>
      <w:r>
        <w:rPr>
          <w:rFonts w:ascii="Calibri" w:cs="Calibri" w:eastAsia="Calibri" w:hAnsi="Calibri"/>
          <w:sz w:val="21"/>
          <w:szCs w:val="21"/>
        </w:rPr>
        <w:t xml:space="preserve"> fall on exactly the same 1,836 records, a complete overlap, and there is no record where only </w:t>
      </w:r>
      <w:r>
        <w:rPr>
          <w:rFonts w:ascii="Consolas" w:cs="Consolas" w:eastAsia="Consolas" w:hAnsi="Consolas"/>
          <w:color w:val="1F3864"/>
          <w:sz w:val="19"/>
          <w:szCs w:val="19"/>
        </w:rPr>
        <w:t xml:space="preserve">workclass</w:t>
      </w:r>
      <w:r>
        <w:rPr>
          <w:rFonts w:ascii="Calibri" w:cs="Calibri" w:eastAsia="Calibri" w:hAnsi="Calibri"/>
          <w:sz w:val="21"/>
          <w:szCs w:val="21"/>
        </w:rPr>
        <w:t xml:space="preserve"> is blank. That is a single non-response event propagating across two fields, and not two independent categories.</w:t>
      </w:r>
    </w:p>
    <w:p>
      <w:pPr>
        <w:spacing w:after="120" w:before="0" w:line="276"/>
      </w:pPr>
      <w:r>
        <w:rPr>
          <w:rFonts w:ascii="Calibri" w:cs="Calibri" w:eastAsia="Calibri" w:hAnsi="Calibri"/>
          <w:b/>
          <w:bCs/>
          <w:color w:val="000000"/>
          <w:sz w:val="21"/>
          <w:szCs w:val="21"/>
        </w:rPr>
        <w:t xml:space="preserve">One exception, which sets the cleaning rule. </w:t>
      </w:r>
      <w:r>
        <w:rPr>
          <w:rFonts w:ascii="Calibri" w:cs="Calibri" w:eastAsia="Calibri" w:hAnsi="Calibri"/>
          <w:sz w:val="21"/>
          <w:szCs w:val="21"/>
        </w:rPr>
        <w:t xml:space="preserve">The 7 records where </w:t>
      </w:r>
      <w:r>
        <w:rPr>
          <w:rFonts w:ascii="Consolas" w:cs="Consolas" w:eastAsia="Consolas" w:hAnsi="Consolas"/>
          <w:color w:val="1F3864"/>
          <w:sz w:val="19"/>
          <w:szCs w:val="19"/>
        </w:rPr>
        <w:t xml:space="preserve">occupation='?'</w:t>
      </w:r>
      <w:r>
        <w:rPr>
          <w:rFonts w:ascii="Calibri" w:cs="Calibri" w:eastAsia="Calibri" w:hAnsi="Calibri"/>
          <w:sz w:val="21"/>
          <w:szCs w:val="21"/>
        </w:rPr>
        <w:t xml:space="preserve"> but </w:t>
      </w:r>
      <w:r>
        <w:rPr>
          <w:rFonts w:ascii="Consolas" w:cs="Consolas" w:eastAsia="Consolas" w:hAnsi="Consolas"/>
          <w:color w:val="1F3864"/>
          <w:sz w:val="19"/>
          <w:szCs w:val="19"/>
        </w:rPr>
        <w:t xml:space="preserve">workclass</w:t>
      </w:r>
      <w:r>
        <w:rPr>
          <w:rFonts w:ascii="Calibri" w:cs="Calibri" w:eastAsia="Calibri" w:hAnsi="Calibri"/>
          <w:sz w:val="21"/>
          <w:szCs w:val="21"/>
        </w:rPr>
        <w:t xml:space="preserve"> is present all carry </w:t>
      </w:r>
      <w:r>
        <w:rPr>
          <w:rFonts w:ascii="Consolas" w:cs="Consolas" w:eastAsia="Consolas" w:hAnsi="Consolas"/>
          <w:color w:val="1F3864"/>
          <w:sz w:val="19"/>
          <w:szCs w:val="19"/>
        </w:rPr>
        <w:t xml:space="preserve">workclass='Never-worked'</w:t>
      </w:r>
      <w:r>
        <w:rPr>
          <w:rFonts w:ascii="Calibri" w:cs="Calibri" w:eastAsia="Calibri" w:hAnsi="Calibri"/>
          <w:sz w:val="21"/>
          <w:szCs w:val="21"/>
        </w:rPr>
        <w:t xml:space="preserve">. Those people have no occupation and the file records them correctly. A blanket replacement of every question mark with a null would destroy a real value.</w:t>
      </w:r>
    </w:p>
    <w:p>
      <w:pPr>
        <w:spacing w:after="120" w:before="0" w:line="276"/>
      </w:pPr>
      <w:r>
        <w:rPr>
          <w:rFonts w:ascii="Calibri" w:cs="Calibri" w:eastAsia="Calibri" w:hAnsi="Calibri"/>
          <w:b/>
          <w:bCs/>
          <w:color w:val="000000"/>
          <w:sz w:val="21"/>
          <w:szCs w:val="21"/>
        </w:rPr>
        <w:t xml:space="preserve">Impact. </w:t>
      </w:r>
      <w:r>
        <w:rPr>
          <w:rFonts w:ascii="Calibri" w:cs="Calibri" w:eastAsia="Calibri" w:hAnsi="Calibri"/>
          <w:sz w:val="21"/>
          <w:szCs w:val="21"/>
        </w:rPr>
        <w:t xml:space="preserve">Any validation step, imputation stage or completeness metric built on </w:t>
      </w:r>
      <w:r>
        <w:rPr>
          <w:rFonts w:ascii="Consolas" w:cs="Consolas" w:eastAsia="Consolas" w:hAnsi="Consolas"/>
          <w:color w:val="1F3864"/>
          <w:sz w:val="19"/>
          <w:szCs w:val="19"/>
        </w:rPr>
        <w:t xml:space="preserve">isna()</w:t>
      </w:r>
      <w:r>
        <w:rPr>
          <w:rFonts w:ascii="Calibri" w:cs="Calibri" w:eastAsia="Calibri" w:hAnsi="Calibri"/>
          <w:sz w:val="21"/>
          <w:szCs w:val="21"/>
        </w:rPr>
        <w:t xml:space="preserve"> passes this file as clean. The question mark then survives into encoding as a spurious dummy variable and corrupts every group-by aggregation on the three affected columns.</w:t>
      </w:r>
    </w:p>
    <w:p>
      <w:pPr>
        <w:pStyle w:val="Heading2"/>
        <w:keepNext/>
        <w:spacing w:after="100" w:before="240"/>
      </w:pPr>
      <w:r>
        <w:rPr>
          <w:rFonts w:ascii="Calibri" w:cs="Calibri" w:eastAsia="Calibri" w:hAnsi="Calibri"/>
          <w:b/>
          <w:bCs/>
          <w:color w:val="1F3864"/>
          <w:sz w:val="22"/>
          <w:szCs w:val="22"/>
        </w:rPr>
        <w:t xml:space="preserve">A.2 Strange values: capital.gain uses 99999 as a top-code sentinel</w:t>
      </w:r>
    </w:p>
    <w:p>
      <w:pPr>
        <w:spacing w:after="120" w:before="0" w:line="276"/>
      </w:pPr>
      <w:r>
        <w:rPr>
          <w:rFonts w:ascii="Calibri" w:cs="Calibri" w:eastAsia="Calibri" w:hAnsi="Calibri"/>
          <w:color w:val="000000"/>
          <w:sz w:val="21"/>
          <w:szCs w:val="21"/>
        </w:rPr>
        <w:t xml:space="preserve">The value 99999 appears 159 times. The next-highest observed value is 41,310, leaving a gap of 58,689 that contains no observations at all. Real income distributions decay continuously and do not jump that far with nothing in between. All 159 records fall in the high-income bracket without exception, which is what censoring at a high threshold produces, and a run of nines is the standard census convention for a censored numeric.</w:t>
      </w:r>
    </w:p>
    <w:p>
      <w:pPr>
        <w:spacing w:after="120" w:before="0" w:line="276"/>
      </w:pPr>
      <w:r>
        <w:rPr>
          <w:rFonts w:ascii="Calibri" w:cs="Calibri" w:eastAsia="Calibri" w:hAnsi="Calibri"/>
          <w:b/>
          <w:bCs/>
          <w:color w:val="000000"/>
          <w:sz w:val="21"/>
          <w:szCs w:val="21"/>
        </w:rPr>
        <w:t xml:space="preserve">What we ruled out. </w:t>
      </w:r>
      <w:r>
        <w:rPr>
          <w:rFonts w:ascii="Calibri" w:cs="Calibri" w:eastAsia="Calibri" w:hAnsi="Calibri"/>
          <w:sz w:val="21"/>
          <w:szCs w:val="21"/>
        </w:rPr>
        <w:t xml:space="preserve">The all-zero quartiles are not a defect. 91.7 per cent of </w:t>
      </w:r>
      <w:r>
        <w:rPr>
          <w:rFonts w:ascii="Consolas" w:cs="Consolas" w:eastAsia="Consolas" w:hAnsi="Consolas"/>
          <w:color w:val="1F3864"/>
          <w:sz w:val="19"/>
          <w:szCs w:val="19"/>
        </w:rPr>
        <w:t xml:space="preserve">capital.gain</w:t>
      </w:r>
      <w:r>
        <w:rPr>
          <w:rFonts w:ascii="Calibri" w:cs="Calibri" w:eastAsia="Calibri" w:hAnsi="Calibri"/>
          <w:sz w:val="21"/>
          <w:szCs w:val="21"/>
        </w:rPr>
        <w:t xml:space="preserve"> and 95.3 per cent of </w:t>
      </w:r>
      <w:r>
        <w:rPr>
          <w:rFonts w:ascii="Consolas" w:cs="Consolas" w:eastAsia="Consolas" w:hAnsi="Consolas"/>
          <w:color w:val="1F3864"/>
          <w:sz w:val="19"/>
          <w:szCs w:val="19"/>
        </w:rPr>
        <w:t xml:space="preserve">capital.loss</w:t>
      </w:r>
      <w:r>
        <w:rPr>
          <w:rFonts w:ascii="Calibri" w:cs="Calibri" w:eastAsia="Calibri" w:hAnsi="Calibri"/>
          <w:sz w:val="21"/>
          <w:szCs w:val="21"/>
        </w:rPr>
        <w:t xml:space="preserve"> are genuinely zero because most respondents have no capital gains. That is real sparsity, correctly recorded, and reading it as breakage would be a misreading of a sparse distribution.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426"/>
        <w:gridCol w:w="1650"/>
        <w:gridCol w:w="1650"/>
        <w:gridCol w:w="1650"/>
        <w:gridCol w:w="1650"/>
      </w:tblGrid>
      <w:tr>
        <w:trPr>
          <w:tblHeader/>
        </w:trPr>
        <w:tc>
          <w:tcPr>
            <w:tcW w:type="dxa" w:w="24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Column</w:t>
            </w:r>
          </w:p>
        </w:tc>
        <w:tc>
          <w:tcPr>
            <w:tcW w:type="dxa" w:w="16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Zeros</w:t>
            </w:r>
          </w:p>
        </w:tc>
        <w:tc>
          <w:tcPr>
            <w:tcW w:type="dxa" w:w="16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Share zero</w:t>
            </w:r>
          </w:p>
        </w:tc>
        <w:tc>
          <w:tcPr>
            <w:tcW w:type="dxa" w:w="16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Non-zero</w:t>
            </w:r>
          </w:p>
        </w:tc>
        <w:tc>
          <w:tcPr>
            <w:tcW w:type="dxa" w:w="16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Maximum</w:t>
            </w:r>
          </w:p>
        </w:tc>
      </w:tr>
      <w:tr>
        <w:trPr>
          <w:tblHeader w:val="false"/>
        </w:trPr>
        <w:tc>
          <w:tcPr>
            <w:tcW w:type="dxa" w:w="24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capital.gain</w:t>
            </w:r>
          </w:p>
        </w:tc>
        <w:tc>
          <w:tcPr>
            <w:tcW w:type="dxa" w:w="16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29,849</w:t>
            </w:r>
          </w:p>
        </w:tc>
        <w:tc>
          <w:tcPr>
            <w:tcW w:type="dxa" w:w="16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91.7%</w:t>
            </w:r>
          </w:p>
        </w:tc>
        <w:tc>
          <w:tcPr>
            <w:tcW w:type="dxa" w:w="16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2,712</w:t>
            </w:r>
          </w:p>
        </w:tc>
        <w:tc>
          <w:tcPr>
            <w:tcW w:type="dxa" w:w="16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99,999</w:t>
            </w:r>
          </w:p>
        </w:tc>
      </w:tr>
      <w:tr>
        <w:trPr>
          <w:tblHeader w:val="false"/>
        </w:trPr>
        <w:tc>
          <w:tcPr>
            <w:tcW w:type="dxa" w:w="24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capital.loss</w:t>
            </w:r>
          </w:p>
        </w:tc>
        <w:tc>
          <w:tcPr>
            <w:tcW w:type="dxa" w:w="16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31,042</w:t>
            </w:r>
          </w:p>
        </w:tc>
        <w:tc>
          <w:tcPr>
            <w:tcW w:type="dxa" w:w="16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95.3%</w:t>
            </w:r>
          </w:p>
        </w:tc>
        <w:tc>
          <w:tcPr>
            <w:tcW w:type="dxa" w:w="16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1,519</w:t>
            </w:r>
          </w:p>
        </w:tc>
        <w:tc>
          <w:tcPr>
            <w:tcW w:type="dxa" w:w="16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4,356</w:t>
            </w:r>
          </w:p>
        </w:tc>
      </w:tr>
    </w:tbl>
    <w:p>
      <w:pPr>
        <w:spacing w:after="200" w:before="80" w:line="240"/>
      </w:pPr>
      <w:r>
        <w:rPr>
          <w:rFonts w:ascii="Calibri" w:cs="Calibri" w:eastAsia="Calibri" w:hAnsi="Calibri"/>
          <w:i/>
          <w:iCs/>
          <w:color w:val="595959"/>
          <w:sz w:val="18"/>
          <w:szCs w:val="18"/>
        </w:rPr>
        <w:t xml:space="preserve">Table A2. The two capital columns. The sparsity is real in both, and only the 99,999 maximum is a placeholder.</w:t>
      </w:r>
    </w:p>
    <w:p>
      <w:pPr>
        <w:spacing w:after="120" w:before="0" w:line="276"/>
      </w:pPr>
      <w:r>
        <w:rPr>
          <w:rFonts w:ascii="Consolas" w:cs="Consolas" w:eastAsia="Consolas" w:hAnsi="Consolas"/>
          <w:color w:val="1F3864"/>
          <w:sz w:val="19"/>
          <w:szCs w:val="19"/>
        </w:rPr>
        <w:t xml:space="preserve">capital.loss</w:t>
      </w:r>
      <w:r>
        <w:rPr>
          <w:rFonts w:ascii="Calibri" w:cs="Calibri" w:eastAsia="Calibri" w:hAnsi="Calibri"/>
          <w:sz w:val="21"/>
          <w:szCs w:val="21"/>
        </w:rPr>
        <w:t xml:space="preserve"> was examined separately. Its maximum of 4,356 sits in a smooth distribution with no gap, so it is not a sentinel and is excluded from this finding. No record carries both </w:t>
      </w:r>
      <w:r>
        <w:rPr>
          <w:rFonts w:ascii="Consolas" w:cs="Consolas" w:eastAsia="Consolas" w:hAnsi="Consolas"/>
          <w:color w:val="1F3864"/>
          <w:sz w:val="19"/>
          <w:szCs w:val="19"/>
        </w:rPr>
        <w:t xml:space="preserve">capital.gain &gt; 0</w:t>
      </w:r>
      <w:r>
        <w:rPr>
          <w:rFonts w:ascii="Calibri" w:cs="Calibri" w:eastAsia="Calibri" w:hAnsi="Calibri"/>
          <w:sz w:val="21"/>
          <w:szCs w:val="21"/>
        </w:rPr>
        <w:t xml:space="preserve"> and </w:t>
      </w:r>
      <w:r>
        <w:rPr>
          <w:rFonts w:ascii="Consolas" w:cs="Consolas" w:eastAsia="Consolas" w:hAnsi="Consolas"/>
          <w:color w:val="1F3864"/>
          <w:sz w:val="19"/>
          <w:szCs w:val="19"/>
        </w:rPr>
        <w:t xml:space="preserve">capital.loss &gt; 0</w:t>
      </w:r>
      <w:r>
        <w:rPr>
          <w:rFonts w:ascii="Calibri" w:cs="Calibri" w:eastAsia="Calibri" w:hAnsi="Calibri"/>
          <w:sz w:val="21"/>
          <w:szCs w:val="21"/>
        </w:rPr>
        <w:t xml:space="preserve">, so that integrity constraint holds.</w:t>
      </w:r>
    </w:p>
    <w:p>
      <w:pPr>
        <w:spacing w:after="120" w:before="0" w:line="276"/>
      </w:pPr>
      <w:r>
        <w:rPr>
          <w:rFonts w:ascii="Calibri" w:cs="Calibri" w:eastAsia="Calibri" w:hAnsi="Calibri"/>
          <w:b/>
          <w:bCs/>
          <w:color w:val="000000"/>
          <w:sz w:val="21"/>
          <w:szCs w:val="21"/>
        </w:rPr>
        <w:t xml:space="preserve">Impact. </w:t>
      </w:r>
      <w:r>
        <w:rPr>
          <w:rFonts w:ascii="Calibri" w:cs="Calibri" w:eastAsia="Calibri" w:hAnsi="Calibri"/>
          <w:sz w:val="21"/>
          <w:szCs w:val="21"/>
        </w:rPr>
        <w:t xml:space="preserve">The 159 sentinel records contribute roughly 15.9 million to the column total, forcing the mean to $1,077.65 against a median of $0. Every mean, standard deviation, correlation and distance calculation on this column is distorted by a placeholder value.</w:t>
      </w:r>
    </w:p>
    <w:p>
      <w:pPr>
        <w:pStyle w:val="Heading2"/>
        <w:keepNext/>
        <w:spacing w:after="100" w:before="240"/>
      </w:pPr>
      <w:r>
        <w:rPr>
          <w:rFonts w:ascii="Calibri" w:cs="Calibri" w:eastAsia="Calibri" w:hAnsi="Calibri"/>
          <w:b/>
          <w:bCs/>
          <w:color w:val="1F3864"/>
          <w:sz w:val="22"/>
          <w:szCs w:val="22"/>
        </w:rPr>
        <w:t xml:space="preserve">A.3 Duplicates: 24 identical records with no key to adjudicate them</w:t>
      </w:r>
    </w:p>
    <w:p>
      <w:pPr>
        <w:spacing w:after="120" w:before="0" w:line="276"/>
      </w:pPr>
      <w:r>
        <w:rPr>
          <w:rFonts w:ascii="Consolas" w:cs="Consolas" w:eastAsia="Consolas" w:hAnsi="Consolas"/>
          <w:color w:val="1F3864"/>
          <w:sz w:val="19"/>
          <w:szCs w:val="19"/>
        </w:rPr>
        <w:t xml:space="preserve">df.duplicated().sum()</w:t>
      </w:r>
      <w:r>
        <w:rPr>
          <w:rFonts w:ascii="Calibri" w:cs="Calibri" w:eastAsia="Calibri" w:hAnsi="Calibri"/>
          <w:sz w:val="21"/>
          <w:szCs w:val="21"/>
        </w:rPr>
        <w:t xml:space="preserve"> returns 24 fully identical records forming 23 distinct duplicate patterns. One pattern appears three times: a 25-year-old female </w:t>
      </w:r>
      <w:r>
        <w:rPr>
          <w:rFonts w:ascii="Consolas" w:cs="Consolas" w:eastAsia="Consolas" w:hAnsi="Consolas"/>
          <w:color w:val="1F3864"/>
          <w:sz w:val="19"/>
          <w:szCs w:val="19"/>
        </w:rPr>
        <w:t xml:space="preserve">Priv-house-serv</w:t>
      </w:r>
      <w:r>
        <w:rPr>
          <w:rFonts w:ascii="Calibri" w:cs="Calibri" w:eastAsia="Calibri" w:hAnsi="Calibri"/>
          <w:sz w:val="21"/>
          <w:szCs w:val="21"/>
        </w:rPr>
        <w:t xml:space="preserve"> worker from Guatemala with </w:t>
      </w:r>
      <w:r>
        <w:rPr>
          <w:rFonts w:ascii="Consolas" w:cs="Consolas" w:eastAsia="Consolas" w:hAnsi="Consolas"/>
          <w:color w:val="1F3864"/>
          <w:sz w:val="19"/>
          <w:szCs w:val="19"/>
        </w:rPr>
        <w:t xml:space="preserve">fnlwgt</w:t>
      </w:r>
      <w:r>
        <w:rPr>
          <w:rFonts w:ascii="Calibri" w:cs="Calibri" w:eastAsia="Calibri" w:hAnsi="Calibri"/>
          <w:sz w:val="21"/>
          <w:szCs w:val="21"/>
        </w:rPr>
        <w:t xml:space="preserve"> 195,994, at row indices 9305, 15603 and 23660.</w:t>
      </w:r>
    </w:p>
    <w:p>
      <w:pPr>
        <w:spacing w:after="120" w:before="0" w:line="276"/>
      </w:pPr>
      <w:r>
        <w:rPr>
          <w:rFonts w:ascii="Calibri" w:cs="Calibri" w:eastAsia="Calibri" w:hAnsi="Calibri"/>
          <w:b/>
          <w:bCs/>
          <w:color w:val="000000"/>
          <w:sz w:val="21"/>
          <w:szCs w:val="21"/>
        </w:rPr>
        <w:t xml:space="preserve">The compounding issue is that no identifier column exists. </w:t>
      </w:r>
      <w:r>
        <w:rPr>
          <w:rFonts w:ascii="Calibri" w:cs="Calibri" w:eastAsia="Calibri" w:hAnsi="Calibri"/>
          <w:sz w:val="21"/>
          <w:szCs w:val="21"/>
        </w:rPr>
        <w:t xml:space="preserve">There is no </w:t>
      </w:r>
      <w:r>
        <w:rPr>
          <w:rFonts w:ascii="Consolas" w:cs="Consolas" w:eastAsia="Consolas" w:hAnsi="Consolas"/>
          <w:color w:val="1F3864"/>
          <w:sz w:val="19"/>
          <w:szCs w:val="19"/>
        </w:rPr>
        <w:t xml:space="preserve">id</w:t>
      </w:r>
      <w:r>
        <w:rPr>
          <w:rFonts w:ascii="Calibri" w:cs="Calibri" w:eastAsia="Calibri" w:hAnsi="Calibri"/>
          <w:sz w:val="21"/>
          <w:szCs w:val="21"/>
        </w:rPr>
        <w:t xml:space="preserve">, no </w:t>
      </w:r>
      <w:r>
        <w:rPr>
          <w:rFonts w:ascii="Consolas" w:cs="Consolas" w:eastAsia="Consolas" w:hAnsi="Consolas"/>
          <w:color w:val="1F3864"/>
          <w:sz w:val="19"/>
          <w:szCs w:val="19"/>
        </w:rPr>
        <w:t xml:space="preserve">person_id</w:t>
      </w:r>
      <w:r>
        <w:rPr>
          <w:rFonts w:ascii="Calibri" w:cs="Calibri" w:eastAsia="Calibri" w:hAnsi="Calibri"/>
          <w:sz w:val="21"/>
          <w:szCs w:val="21"/>
        </w:rPr>
        <w:t xml:space="preserve"> and no record key of any kind, and </w:t>
      </w:r>
      <w:r>
        <w:rPr>
          <w:rFonts w:ascii="Consolas" w:cs="Consolas" w:eastAsia="Consolas" w:hAnsi="Consolas"/>
          <w:color w:val="1F3864"/>
          <w:sz w:val="19"/>
          <w:szCs w:val="19"/>
        </w:rPr>
        <w:t xml:space="preserve">fnlwgt</w:t>
      </w:r>
      <w:r>
        <w:rPr>
          <w:rFonts w:ascii="Calibri" w:cs="Calibri" w:eastAsia="Calibri" w:hAnsi="Calibri"/>
          <w:sz w:val="21"/>
          <w:szCs w:val="21"/>
        </w:rPr>
        <w:t xml:space="preserve"> cannot substitute for one: 21,648 unique values across 32,561 rows, 17,231 rows sharing a value with at least one other row, and a most-frequent value of 123011 that repeats 13 times. This is not a flaw in </w:t>
      </w:r>
      <w:r>
        <w:rPr>
          <w:rFonts w:ascii="Consolas" w:cs="Consolas" w:eastAsia="Consolas" w:hAnsi="Consolas"/>
          <w:color w:val="1F3864"/>
          <w:sz w:val="19"/>
          <w:szCs w:val="19"/>
        </w:rPr>
        <w:t xml:space="preserve">fnlwgt</w:t>
      </w:r>
      <w:r>
        <w:rPr>
          <w:rFonts w:ascii="Calibri" w:cs="Calibri" w:eastAsia="Calibri" w:hAnsi="Calibri"/>
          <w:sz w:val="21"/>
          <w:szCs w:val="21"/>
        </w:rPr>
        <w:t xml:space="preserve">. It is a Current Population Survey weight, so respondents with similar demographics receive similar weights by design and collision is its intended behaviour.</w:t>
      </w:r>
    </w:p>
    <w:p>
      <w:pPr>
        <w:spacing w:after="120" w:before="0" w:line="276"/>
      </w:pPr>
      <w:r>
        <w:rPr>
          <w:rFonts w:ascii="Calibri" w:cs="Calibri" w:eastAsia="Calibri" w:hAnsi="Calibri"/>
          <w:b/>
          <w:bCs/>
          <w:color w:val="000000"/>
          <w:sz w:val="21"/>
          <w:szCs w:val="21"/>
        </w:rPr>
        <w:t xml:space="preserve">Why the missing key is the real problem. </w:t>
      </w:r>
      <w:r>
        <w:rPr>
          <w:rFonts w:ascii="Calibri" w:cs="Calibri" w:eastAsia="Calibri" w:hAnsi="Calibri"/>
          <w:sz w:val="21"/>
          <w:szCs w:val="21"/>
        </w:rPr>
        <w:t xml:space="preserve">Without an identifier we cannot distinguish a data-entry duplicate from two different people who happen to match on all fourteen attributes. Both are plausible here. The duplicated records cluster in low-variance profiles, being young, </w:t>
      </w:r>
      <w:r>
        <w:rPr>
          <w:rFonts w:ascii="Consolas" w:cs="Consolas" w:eastAsia="Consolas" w:hAnsi="Consolas"/>
          <w:color w:val="1F3864"/>
          <w:sz w:val="19"/>
          <w:szCs w:val="19"/>
        </w:rPr>
        <w:t xml:space="preserve">Never-married</w:t>
      </w:r>
      <w:r>
        <w:rPr>
          <w:rFonts w:ascii="Calibri" w:cs="Calibri" w:eastAsia="Calibri" w:hAnsi="Calibri"/>
          <w:sz w:val="21"/>
          <w:szCs w:val="21"/>
        </w:rPr>
        <w:t xml:space="preserve">, </w:t>
      </w:r>
      <w:r>
        <w:rPr>
          <w:rFonts w:ascii="Consolas" w:cs="Consolas" w:eastAsia="Consolas" w:hAnsi="Consolas"/>
          <w:color w:val="1F3864"/>
          <w:sz w:val="19"/>
          <w:szCs w:val="19"/>
        </w:rPr>
        <w:t xml:space="preserve">Private</w:t>
      </w:r>
      <w:r>
        <w:rPr>
          <w:rFonts w:ascii="Calibri" w:cs="Calibri" w:eastAsia="Calibri" w:hAnsi="Calibri"/>
          <w:sz w:val="21"/>
          <w:szCs w:val="21"/>
        </w:rPr>
        <w:t xml:space="preserve"> sector, zero capital gain and loss, and common values of </w:t>
      </w:r>
      <w:r>
        <w:rPr>
          <w:rFonts w:ascii="Consolas" w:cs="Consolas" w:eastAsia="Consolas" w:hAnsi="Consolas"/>
          <w:color w:val="1F3864"/>
          <w:sz w:val="19"/>
          <w:szCs w:val="19"/>
        </w:rPr>
        <w:t xml:space="preserve">hours.per.week</w:t>
      </w:r>
      <w:r>
        <w:rPr>
          <w:rFonts w:ascii="Calibri" w:cs="Calibri" w:eastAsia="Calibri" w:hAnsi="Calibri"/>
          <w:sz w:val="21"/>
          <w:szCs w:val="21"/>
        </w:rPr>
        <w:t xml:space="preserve">. Those are precisely the profiles where a genuine attribute collision between two distinct individuals is most likely.</w:t>
      </w:r>
    </w:p>
    <w:p>
      <w:pPr>
        <w:spacing w:after="120" w:before="0" w:line="276"/>
      </w:pPr>
      <w:r>
        <w:rPr>
          <w:rFonts w:ascii="Calibri" w:cs="Calibri" w:eastAsia="Calibri" w:hAnsi="Calibri"/>
          <w:b/>
          <w:bCs/>
          <w:color w:val="000000"/>
          <w:sz w:val="21"/>
          <w:szCs w:val="21"/>
        </w:rPr>
        <w:t xml:space="preserve">Impact. </w:t>
      </w:r>
      <w:r>
        <w:rPr>
          <w:rFonts w:ascii="Calibri" w:cs="Calibri" w:eastAsia="Calibri" w:hAnsi="Calibri"/>
          <w:sz w:val="21"/>
          <w:szCs w:val="21"/>
        </w:rPr>
        <w:t xml:space="preserve">Deduplication is not a safe automatic operation on this file. Dropping all 24 risks deleting real observations and keeping them risks double counting. It requires an explicit team decision on the record, and every row-count metric stays ambiguous until that decision is made.</w:t>
      </w:r>
    </w:p>
    <w:p>
      <w:pPr>
        <w:pStyle w:val="Heading1"/>
        <w:keepNext/>
        <w:spacing w:after="140" w:before="320"/>
      </w:pPr>
      <w:r>
        <w:rPr>
          <w:rFonts w:ascii="Calibri" w:cs="Calibri" w:eastAsia="Calibri" w:hAnsi="Calibri"/>
          <w:b/>
          <w:bCs/>
          <w:color w:val="1F3864"/>
          <w:sz w:val="26"/>
          <w:szCs w:val="26"/>
        </w:rPr>
        <w:t xml:space="preserve">Appendix B. Secondary findings</w:t>
      </w:r>
    </w:p>
    <w:p>
      <w:pPr>
        <w:spacing w:after="120" w:before="0" w:line="276"/>
      </w:pPr>
      <w:r>
        <w:rPr>
          <w:rFonts w:ascii="Calibri" w:cs="Calibri" w:eastAsia="Calibri" w:hAnsi="Calibri"/>
          <w:color w:val="000000"/>
          <w:sz w:val="21"/>
          <w:szCs w:val="21"/>
        </w:rPr>
        <w:t xml:space="preserve">Recorded for the cleaning stage. These sit outside the three defects above.</w:t>
      </w:r>
    </w:p>
    <w:p>
      <w:pPr>
        <w:pStyle w:val="ListParagraph"/>
        <w:numPr>
          <w:ilvl w:val="0"/>
          <w:numId w:val="3"/>
        </w:numPr>
        <w:spacing w:after="100" w:before="0" w:line="276"/>
      </w:pPr>
      <w:r>
        <w:rPr>
          <w:rFonts w:ascii="Calibri" w:cs="Calibri" w:eastAsia="Calibri" w:hAnsi="Calibri"/>
          <w:b/>
          <w:bCs/>
          <w:color w:val="000000"/>
          <w:sz w:val="21"/>
          <w:szCs w:val="21"/>
        </w:rPr>
        <w:t xml:space="preserve">Top-coding affects age and hours per week as well. </w:t>
      </w:r>
      <w:r>
        <w:rPr>
          <w:rFonts w:ascii="Consolas" w:cs="Consolas" w:eastAsia="Consolas" w:hAnsi="Consolas"/>
          <w:color w:val="1F3864"/>
          <w:sz w:val="19"/>
          <w:szCs w:val="19"/>
        </w:rPr>
        <w:t xml:space="preserve">age</w:t>
      </w:r>
      <w:r>
        <w:rPr>
          <w:rFonts w:ascii="Calibri" w:cs="Calibri" w:eastAsia="Calibri" w:hAnsi="Calibri"/>
          <w:sz w:val="21"/>
          <w:szCs w:val="21"/>
        </w:rPr>
        <w:t xml:space="preserve"> has 43 records at exactly 90 and zero records at 89, with only three at 88. </w:t>
      </w:r>
      <w:r>
        <w:rPr>
          <w:rFonts w:ascii="Consolas" w:cs="Consolas" w:eastAsia="Consolas" w:hAnsi="Consolas"/>
          <w:color w:val="1F3864"/>
          <w:sz w:val="19"/>
          <w:szCs w:val="19"/>
        </w:rPr>
        <w:t xml:space="preserve">hours.per.week</w:t>
      </w:r>
      <w:r>
        <w:rPr>
          <w:rFonts w:ascii="Calibri" w:cs="Calibri" w:eastAsia="Calibri" w:hAnsi="Calibri"/>
          <w:sz w:val="21"/>
          <w:szCs w:val="21"/>
        </w:rPr>
        <w:t xml:space="preserve"> has 85 records at exactly 99 against 11 at 98 and 2 at 97. Same censoring mechanism as A.2, three columns in total.</w:t>
      </w:r>
    </w:p>
    <w:p>
      <w:pPr>
        <w:pStyle w:val="ListParagraph"/>
        <w:numPr>
          <w:ilvl w:val="0"/>
          <w:numId w:val="3"/>
        </w:numPr>
        <w:spacing w:after="100" w:before="0" w:line="276"/>
      </w:pPr>
      <w:r>
        <w:rPr>
          <w:rFonts w:ascii="Consolas" w:cs="Consolas" w:eastAsia="Consolas" w:hAnsi="Consolas"/>
          <w:color w:val="1F3864"/>
          <w:sz w:val="19"/>
          <w:szCs w:val="19"/>
        </w:rPr>
        <w:t xml:space="preserve">education</w:t>
      </w:r>
      <w:r>
        <w:rPr>
          <w:rFonts w:ascii="Calibri" w:cs="Calibri" w:eastAsia="Calibri" w:hAnsi="Calibri"/>
          <w:sz w:val="21"/>
          <w:szCs w:val="21"/>
        </w:rPr>
        <w:t xml:space="preserve"> and </w:t>
      </w:r>
      <w:r>
        <w:rPr>
          <w:rFonts w:ascii="Consolas" w:cs="Consolas" w:eastAsia="Consolas" w:hAnsi="Consolas"/>
          <w:color w:val="1F3864"/>
          <w:sz w:val="19"/>
          <w:szCs w:val="19"/>
        </w:rPr>
        <w:t xml:space="preserve">education.num</w:t>
      </w:r>
      <w:r>
        <w:rPr>
          <w:rFonts w:ascii="Calibri" w:cs="Calibri" w:eastAsia="Calibri" w:hAnsi="Calibri"/>
          <w:sz w:val="21"/>
          <w:szCs w:val="21"/>
        </w:rPr>
        <w:t xml:space="preserve"> are perfectly redundant, a strict one-to-one mapping across all sixteen levels from Preschool at 1 to Doctorate at 16. Either column is fully derivable from the other.</w:t>
      </w:r>
    </w:p>
    <w:p>
      <w:pPr>
        <w:pStyle w:val="ListParagraph"/>
        <w:numPr>
          <w:ilvl w:val="0"/>
          <w:numId w:val="3"/>
        </w:numPr>
        <w:spacing w:after="100" w:before="0" w:line="276"/>
      </w:pPr>
      <w:r>
        <w:rPr>
          <w:rFonts w:ascii="Consolas" w:cs="Consolas" w:eastAsia="Consolas" w:hAnsi="Consolas"/>
          <w:color w:val="1F3864"/>
          <w:sz w:val="19"/>
          <w:szCs w:val="19"/>
        </w:rPr>
        <w:t xml:space="preserve">native.country</w:t>
      </w:r>
      <w:r>
        <w:rPr>
          <w:rFonts w:ascii="Calibri" w:cs="Calibri" w:eastAsia="Calibri" w:hAnsi="Calibri"/>
          <w:sz w:val="21"/>
          <w:szCs w:val="21"/>
        </w:rPr>
        <w:t xml:space="preserve"> is severely imbalanced. 89.6 per cent of records are </w:t>
      </w:r>
      <w:r>
        <w:rPr>
          <w:rFonts w:ascii="Consolas" w:cs="Consolas" w:eastAsia="Consolas" w:hAnsi="Consolas"/>
          <w:color w:val="1F3864"/>
          <w:sz w:val="19"/>
          <w:szCs w:val="19"/>
        </w:rPr>
        <w:t xml:space="preserve">United-States</w:t>
      </w:r>
      <w:r>
        <w:rPr>
          <w:rFonts w:ascii="Calibri" w:cs="Calibri" w:eastAsia="Calibri" w:hAnsi="Calibri"/>
          <w:sz w:val="21"/>
          <w:szCs w:val="21"/>
        </w:rPr>
        <w:t xml:space="preserve">, and 33 of the 42 categories hold fewer than 100 records. Naive one-hot encoding yields 42 near-empty columns.</w:t>
      </w:r>
    </w:p>
    <w:p>
      <w:pPr>
        <w:pStyle w:val="ListParagraph"/>
        <w:numPr>
          <w:ilvl w:val="0"/>
          <w:numId w:val="3"/>
        </w:numPr>
        <w:spacing w:after="100" w:before="0" w:line="276"/>
      </w:pPr>
      <w:r>
        <w:rPr>
          <w:rFonts w:ascii="Calibri" w:cs="Calibri" w:eastAsia="Calibri" w:hAnsi="Calibri"/>
          <w:sz w:val="21"/>
          <w:szCs w:val="21"/>
        </w:rPr>
        <w:t xml:space="preserve">Three records contradict themselves on sex and relationship: one is </w:t>
      </w:r>
      <w:r>
        <w:rPr>
          <w:rFonts w:ascii="Consolas" w:cs="Consolas" w:eastAsia="Consolas" w:hAnsi="Consolas"/>
          <w:color w:val="1F3864"/>
          <w:sz w:val="19"/>
          <w:szCs w:val="19"/>
        </w:rPr>
        <w:t xml:space="preserve">Female</w:t>
      </w:r>
      <w:r>
        <w:rPr>
          <w:rFonts w:ascii="Calibri" w:cs="Calibri" w:eastAsia="Calibri" w:hAnsi="Calibri"/>
          <w:sz w:val="21"/>
          <w:szCs w:val="21"/>
        </w:rPr>
        <w:t xml:space="preserve"> and </w:t>
      </w:r>
      <w:r>
        <w:rPr>
          <w:rFonts w:ascii="Consolas" w:cs="Consolas" w:eastAsia="Consolas" w:hAnsi="Consolas"/>
          <w:color w:val="1F3864"/>
          <w:sz w:val="19"/>
          <w:szCs w:val="19"/>
        </w:rPr>
        <w:t xml:space="preserve">Husband</w:t>
      </w:r>
      <w:r>
        <w:rPr>
          <w:rFonts w:ascii="Calibri" w:cs="Calibri" w:eastAsia="Calibri" w:hAnsi="Calibri"/>
          <w:sz w:val="21"/>
          <w:szCs w:val="21"/>
        </w:rPr>
        <w:t xml:space="preserve">, and two are </w:t>
      </w:r>
      <w:r>
        <w:rPr>
          <w:rFonts w:ascii="Consolas" w:cs="Consolas" w:eastAsia="Consolas" w:hAnsi="Consolas"/>
          <w:color w:val="1F3864"/>
          <w:sz w:val="19"/>
          <w:szCs w:val="19"/>
        </w:rPr>
        <w:t xml:space="preserve">Male</w:t>
      </w:r>
      <w:r>
        <w:rPr>
          <w:rFonts w:ascii="Calibri" w:cs="Calibri" w:eastAsia="Calibri" w:hAnsi="Calibri"/>
          <w:sz w:val="21"/>
          <w:szCs w:val="21"/>
        </w:rPr>
        <w:t xml:space="preserve"> and </w:t>
      </w:r>
      <w:r>
        <w:rPr>
          <w:rFonts w:ascii="Consolas" w:cs="Consolas" w:eastAsia="Consolas" w:hAnsi="Consolas"/>
          <w:color w:val="1F3864"/>
          <w:sz w:val="19"/>
          <w:szCs w:val="19"/>
        </w:rPr>
        <w:t xml:space="preserve">Wife</w:t>
      </w:r>
      <w:r>
        <w:rPr>
          <w:rFonts w:ascii="Calibri" w:cs="Calibri" w:eastAsia="Calibri" w:hAnsi="Calibri"/>
          <w:sz w:val="21"/>
          <w:szCs w:val="21"/>
        </w:rPr>
        <w:t xml:space="preserve">.</w:t>
      </w:r>
    </w:p>
    <w:p>
      <w:pPr>
        <w:pStyle w:val="ListParagraph"/>
        <w:numPr>
          <w:ilvl w:val="0"/>
          <w:numId w:val="3"/>
        </w:numPr>
        <w:spacing w:after="100" w:before="0" w:line="276"/>
      </w:pPr>
      <w:r>
        <w:rPr>
          <w:rFonts w:ascii="Calibri" w:cs="Calibri" w:eastAsia="Calibri" w:hAnsi="Calibri"/>
          <w:sz w:val="21"/>
          <w:szCs w:val="21"/>
        </w:rPr>
        <w:t xml:space="preserve">No leading or trailing whitespace and no casing inconsistencies appear in any text column.</w:t>
      </w:r>
    </w:p>
    <w:p>
      <w:pPr>
        <w:pStyle w:val="Heading1"/>
        <w:keepNext/>
        <w:spacing w:after="140" w:before="320"/>
      </w:pPr>
      <w:r>
        <w:rPr>
          <w:rFonts w:ascii="Calibri" w:cs="Calibri" w:eastAsia="Calibri" w:hAnsi="Calibri"/>
          <w:b/>
          <w:bCs/>
          <w:color w:val="1F3864"/>
          <w:sz w:val="26"/>
          <w:szCs w:val="26"/>
        </w:rPr>
        <w:t xml:space="preserve">Appendix C. Note on fnlwgt</w:t>
      </w:r>
    </w:p>
    <w:p>
      <w:pPr>
        <w:spacing w:after="120" w:before="0" w:line="276"/>
      </w:pPr>
      <w:r>
        <w:rPr>
          <w:rFonts w:ascii="Consolas" w:cs="Consolas" w:eastAsia="Consolas" w:hAnsi="Consolas"/>
          <w:color w:val="1F3864"/>
          <w:sz w:val="19"/>
          <w:szCs w:val="19"/>
        </w:rPr>
        <w:t xml:space="preserve">fnlwgt</w:t>
      </w:r>
      <w:r>
        <w:rPr>
          <w:rFonts w:ascii="Calibri" w:cs="Calibri" w:eastAsia="Calibri" w:hAnsi="Calibri"/>
          <w:sz w:val="21"/>
          <w:szCs w:val="21"/>
        </w:rPr>
        <w:t xml:space="preserve">, the final weight, is the only column that is not a fact about the person. The Adult dataset is an extract of the March 1994 Current Population Survey, and </w:t>
      </w:r>
      <w:r>
        <w:rPr>
          <w:rFonts w:ascii="Consolas" w:cs="Consolas" w:eastAsia="Consolas" w:hAnsi="Consolas"/>
          <w:color w:val="1F3864"/>
          <w:sz w:val="19"/>
          <w:szCs w:val="19"/>
        </w:rPr>
        <w:t xml:space="preserve">fnlwgt</w:t>
      </w:r>
      <w:r>
        <w:rPr>
          <w:rFonts w:ascii="Calibri" w:cs="Calibri" w:eastAsia="Calibri" w:hAnsi="Calibri"/>
          <w:sz w:val="21"/>
          <w:szCs w:val="21"/>
        </w:rPr>
        <w:t xml:space="preserve"> is the Census Bureau estimate of how many people in the US population that record represents. It is produced by raking against three independent population controls: state population aged 16 and over, Hispanic origin by age by sex, and race by age by sex.</w:t>
      </w:r>
    </w:p>
    <w:p>
      <w:pPr>
        <w:spacing w:after="120" w:before="0" w:line="276"/>
      </w:pPr>
      <w:r>
        <w:rPr>
          <w:rFonts w:ascii="Calibri" w:cs="Calibri" w:eastAsia="Calibri" w:hAnsi="Calibri"/>
          <w:color w:val="000000"/>
          <w:sz w:val="21"/>
          <w:szCs w:val="21"/>
        </w:rPr>
        <w:t xml:space="preserve">It carries no individual-level signal.</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4526"/>
        <w:gridCol w:w="4500"/>
      </w:tblGrid>
      <w:tr>
        <w:trPr>
          <w:tblHeader/>
        </w:trPr>
        <w:tc>
          <w:tcPr>
            <w:tcW w:type="dxa" w:w="45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Correlation with fnlwgt</w:t>
            </w:r>
          </w:p>
        </w:tc>
        <w:tc>
          <w:tcPr>
            <w:tcW w:type="dxa" w:w="45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w:t>
            </w:r>
          </w:p>
        </w:tc>
      </w:tr>
      <w:tr>
        <w:trPr>
          <w:tblHeader w:val="false"/>
        </w:trPr>
        <w:tc>
          <w:tcPr>
            <w:tcW w:type="dxa" w:w="45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age</w:t>
            </w:r>
          </w:p>
        </w:tc>
        <w:tc>
          <w:tcPr>
            <w:tcW w:type="dxa" w:w="4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-0.077</w:t>
            </w:r>
          </w:p>
        </w:tc>
      </w:tr>
      <w:tr>
        <w:trPr>
          <w:tblHeader w:val="false"/>
        </w:trPr>
        <w:tc>
          <w:tcPr>
            <w:tcW w:type="dxa" w:w="45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education.num</w:t>
            </w:r>
          </w:p>
        </w:tc>
        <w:tc>
          <w:tcPr>
            <w:tcW w:type="dxa" w:w="4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-0.043</w:t>
            </w:r>
          </w:p>
        </w:tc>
      </w:tr>
      <w:tr>
        <w:trPr>
          <w:tblHeader w:val="false"/>
        </w:trPr>
        <w:tc>
          <w:tcPr>
            <w:tcW w:type="dxa" w:w="45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hours.per.week</w:t>
            </w:r>
          </w:p>
        </w:tc>
        <w:tc>
          <w:tcPr>
            <w:tcW w:type="dxa" w:w="4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-0.019</w:t>
            </w:r>
          </w:p>
        </w:tc>
      </w:tr>
      <w:tr>
        <w:trPr>
          <w:tblHeader w:val="false"/>
        </w:trPr>
        <w:tc>
          <w:tcPr>
            <w:tcW w:type="dxa" w:w="45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capital.gain</w:t>
            </w:r>
          </w:p>
        </w:tc>
        <w:tc>
          <w:tcPr>
            <w:tcW w:type="dxa" w:w="4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+0.0004</w:t>
            </w:r>
          </w:p>
        </w:tc>
      </w:tr>
    </w:tbl>
    <w:p>
      <w:pPr>
        <w:spacing w:after="200" w:before="80" w:line="240"/>
      </w:pPr>
      <w:r>
        <w:rPr>
          <w:rFonts w:ascii="Calibri" w:cs="Calibri" w:eastAsia="Calibri" w:hAnsi="Calibri"/>
          <w:i/>
          <w:iCs/>
          <w:color w:val="595959"/>
          <w:sz w:val="18"/>
          <w:szCs w:val="18"/>
        </w:rPr>
        <w:t xml:space="preserve">Table C1. Correlation between the survey weight and each numeric attribute. Nothing exceeds 0.08 in absolute value.</w:t>
      </w:r>
    </w:p>
    <w:p>
      <w:pPr>
        <w:spacing w:after="120" w:before="0" w:line="276"/>
      </w:pPr>
      <w:r>
        <w:rPr>
          <w:rFonts w:ascii="Calibri" w:cs="Calibri" w:eastAsia="Calibri" w:hAnsi="Calibri"/>
          <w:sz w:val="21"/>
          <w:szCs w:val="21"/>
        </w:rPr>
        <w:t xml:space="preserve">Mean </w:t>
      </w:r>
      <w:r>
        <w:rPr>
          <w:rFonts w:ascii="Consolas" w:cs="Consolas" w:eastAsia="Consolas" w:hAnsi="Consolas"/>
          <w:color w:val="1F3864"/>
          <w:sz w:val="19"/>
          <w:szCs w:val="19"/>
        </w:rPr>
        <w:t xml:space="preserve">fnlwgt</w:t>
      </w:r>
      <w:r>
        <w:rPr>
          <w:rFonts w:ascii="Calibri" w:cs="Calibri" w:eastAsia="Calibri" w:hAnsi="Calibri"/>
          <w:sz w:val="21"/>
          <w:szCs w:val="21"/>
        </w:rPr>
        <w:t xml:space="preserve"> is 190,341 for the low-income bracket against 188,005 for the high, which is effectively no difference. It does vary sharply by the raking controls, with a mean of 228,013 for </w:t>
      </w:r>
      <w:r>
        <w:rPr>
          <w:rFonts w:ascii="Consolas" w:cs="Consolas" w:eastAsia="Consolas" w:hAnsi="Consolas"/>
          <w:color w:val="1F3864"/>
          <w:sz w:val="19"/>
          <w:szCs w:val="19"/>
        </w:rPr>
        <w:t xml:space="preserve">Black</w:t>
      </w:r>
      <w:r>
        <w:rPr>
          <w:rFonts w:ascii="Calibri" w:cs="Calibri" w:eastAsia="Calibri" w:hAnsi="Calibri"/>
          <w:sz w:val="21"/>
          <w:szCs w:val="21"/>
        </w:rPr>
        <w:t xml:space="preserve"> against 120,831 for </w:t>
      </w:r>
      <w:r>
        <w:rPr>
          <w:rFonts w:ascii="Consolas" w:cs="Consolas" w:eastAsia="Consolas" w:hAnsi="Consolas"/>
          <w:color w:val="1F3864"/>
          <w:sz w:val="19"/>
          <w:szCs w:val="19"/>
        </w:rPr>
        <w:t xml:space="preserve">Amer-Indian-Eskimo</w:t>
      </w:r>
      <w:r>
        <w:rPr>
          <w:rFonts w:ascii="Calibri" w:cs="Calibri" w:eastAsia="Calibri" w:hAnsi="Calibri"/>
          <w:sz w:val="21"/>
          <w:szCs w:val="21"/>
        </w:rPr>
        <w:t xml:space="preserve">, and that is a sampling-design artifact and not a demographic finding.</w:t>
      </w:r>
    </w:p>
    <w:p>
      <w:pPr>
        <w:spacing w:after="120" w:before="0" w:line="276"/>
      </w:pPr>
      <w:r>
        <w:rPr>
          <w:rFonts w:ascii="Calibri" w:cs="Calibri" w:eastAsia="Calibri" w:hAnsi="Calibri"/>
          <w:b/>
          <w:bCs/>
          <w:color w:val="000000"/>
          <w:sz w:val="21"/>
          <w:szCs w:val="21"/>
        </w:rPr>
        <w:t xml:space="preserve">Two properties make it unusable as published. </w:t>
      </w:r>
      <w:r>
        <w:rPr>
          <w:rFonts w:ascii="Calibri" w:cs="Calibri" w:eastAsia="Calibri" w:hAnsi="Calibri"/>
          <w:sz w:val="21"/>
          <w:szCs w:val="21"/>
        </w:rPr>
        <w:t xml:space="preserve">Survey weights are only comparable within a state, and </w:t>
      </w:r>
      <w:r>
        <w:rPr>
          <w:rFonts w:ascii="Consolas" w:cs="Consolas" w:eastAsia="Consolas" w:hAnsi="Consolas"/>
          <w:color w:val="1F3864"/>
          <w:sz w:val="19"/>
          <w:szCs w:val="19"/>
        </w:rPr>
        <w:t xml:space="preserve">state</w:t>
      </w:r>
      <w:r>
        <w:rPr>
          <w:rFonts w:ascii="Calibri" w:cs="Calibri" w:eastAsia="Calibri" w:hAnsi="Calibri"/>
          <w:sz w:val="21"/>
          <w:szCs w:val="21"/>
        </w:rPr>
        <w:t xml:space="preserve"> is absent from this extract, so the column needed to interpret the weight was dropped. The weights also sum to 6,179,373,392, roughly 32 times the 1994 US adult population of about 190 million, so they are not rescaled to this extract and cannot be read as literal head counts.</w:t>
      </w:r>
    </w:p>
    <w:p>
      <w:pPr>
        <w:spacing w:after="120" w:before="0" w:line="276"/>
      </w:pPr>
      <w:r>
        <w:rPr>
          <w:rFonts w:ascii="Calibri" w:cs="Calibri" w:eastAsia="Calibri" w:hAnsi="Calibri"/>
          <w:b/>
          <w:bCs/>
          <w:color w:val="000000"/>
          <w:sz w:val="21"/>
          <w:szCs w:val="21"/>
        </w:rPr>
        <w:t xml:space="preserve">Recommendation. </w:t>
      </w:r>
      <w:r>
        <w:rPr>
          <w:rFonts w:ascii="Calibri" w:cs="Calibri" w:eastAsia="Calibri" w:hAnsi="Calibri"/>
          <w:sz w:val="21"/>
          <w:szCs w:val="21"/>
        </w:rPr>
        <w:t xml:space="preserve">Exclude </w:t>
      </w:r>
      <w:r>
        <w:rPr>
          <w:rFonts w:ascii="Consolas" w:cs="Consolas" w:eastAsia="Consolas" w:hAnsi="Consolas"/>
          <w:color w:val="1F3864"/>
          <w:sz w:val="19"/>
          <w:szCs w:val="19"/>
        </w:rPr>
        <w:t xml:space="preserve">fnlwgt</w:t>
      </w:r>
      <w:r>
        <w:rPr>
          <w:rFonts w:ascii="Calibri" w:cs="Calibri" w:eastAsia="Calibri" w:hAnsi="Calibri"/>
          <w:sz w:val="21"/>
          <w:szCs w:val="21"/>
        </w:rPr>
        <w:t xml:space="preserve"> from any feature set. It is survey metadata that leaks design structure while adding no predictive signal. Retain it only for weighted descriptive statistics, with the missing-state caveat footnoted. For reference, the weighted share earning above 50K is 23.86 per cent against 24.08 per cent unweighted.</w:t>
      </w:r>
    </w:p>
    <w:p>
      <w:pPr>
        <w:pStyle w:val="Heading1"/>
        <w:keepNext/>
        <w:spacing w:after="140" w:before="320"/>
      </w:pPr>
      <w:r>
        <w:rPr>
          <w:rFonts w:ascii="Calibri" w:cs="Calibri" w:eastAsia="Calibri" w:hAnsi="Calibri"/>
          <w:b/>
          <w:bCs/>
          <w:color w:val="1F3864"/>
          <w:sz w:val="26"/>
          <w:szCs w:val="26"/>
        </w:rPr>
        <w:t xml:space="preserve">Appendix D. Reproducing the figures</w:t>
      </w:r>
    </w:p>
    <w:p>
      <w:pPr>
        <w:spacing w:after="120" w:before="0" w:line="276"/>
      </w:pPr>
      <w:r>
        <w:rPr>
          <w:rFonts w:ascii="Calibri" w:cs="Calibri" w:eastAsia="Calibri" w:hAnsi="Calibri"/>
          <w:color w:val="000000"/>
          <w:sz w:val="21"/>
          <w:szCs w:val="21"/>
        </w:rPr>
        <w:t xml:space="preserve">Python 3.14 with pandas 3.0.3. Every figure in this document was produced by the statements below against the unmodified file.</w:t>
      </w:r>
    </w:p>
    <w:p>
      <w:pPr>
        <w:spacing w:after="0" w:before="0" w:line="240"/>
        <w:ind w:left="220"/>
      </w:pPr>
      <w:r>
        <w:rPr>
          <w:rFonts w:ascii="Consolas" w:cs="Consolas" w:eastAsia="Consolas" w:hAnsi="Consolas"/>
          <w:color w:val="333333"/>
          <w:sz w:val="18"/>
          <w:szCs w:val="18"/>
        </w:rPr>
        <w:t xml:space="preserve">import pandas as pd</w:t>
      </w:r>
    </w:p>
    <w:p>
      <w:pPr>
        <w:spacing w:after="0" w:before="0" w:line="240"/>
        <w:ind w:left="220"/>
      </w:pPr>
      <w:r>
        <w:rPr>
          <w:rFonts w:ascii="Consolas" w:cs="Consolas" w:eastAsia="Consolas" w:hAnsi="Consolas"/>
          <w:color w:val="333333"/>
          <w:sz w:val="18"/>
          <w:szCs w:val="18"/>
        </w:rPr>
        <w:t xml:space="preserve">df = pd.read_csv("adult.csv")</w:t>
      </w:r>
    </w:p>
    <w:p>
      <w:pPr>
        <w:spacing w:after="0" w:before="0" w:line="240"/>
        <w:ind w:left="220"/>
      </w:pPr>
      <w:r>
        <w:rPr>
          <w:rFonts w:ascii="Consolas" w:cs="Consolas" w:eastAsia="Consolas" w:hAnsi="Consolas"/>
          <w:color w:val="333333"/>
          <w:sz w:val="18"/>
          <w:szCs w:val="18"/>
        </w:rPr>
        <w:t xml:space="preserve"/>
      </w:r>
    </w:p>
    <w:p>
      <w:pPr>
        <w:spacing w:after="0" w:before="0" w:line="240"/>
        <w:ind w:left="220"/>
      </w:pPr>
      <w:r>
        <w:rPr>
          <w:rFonts w:ascii="Consolas" w:cs="Consolas" w:eastAsia="Consolas" w:hAnsi="Consolas"/>
          <w:color w:val="333333"/>
          <w:sz w:val="18"/>
          <w:szCs w:val="18"/>
        </w:rPr>
        <w:t xml:space="preserve">df.isna().sum()                    # 0 everywhere, which is misleading</w:t>
      </w:r>
    </w:p>
    <w:p>
      <w:pPr>
        <w:spacing w:after="0" w:before="0" w:line="240"/>
        <w:ind w:left="220"/>
      </w:pPr>
      <w:r>
        <w:rPr>
          <w:rFonts w:ascii="Consolas" w:cs="Consolas" w:eastAsia="Consolas" w:hAnsi="Consolas"/>
          <w:color w:val="333333"/>
          <w:sz w:val="18"/>
          <w:szCs w:val="18"/>
        </w:rPr>
        <w:t xml:space="preserve">(df == "?").sum()                  # 1843 / 1836 / 583, the real gaps</w:t>
      </w:r>
    </w:p>
    <w:p>
      <w:pPr>
        <w:spacing w:after="0" w:before="0" w:line="240"/>
        <w:ind w:left="220"/>
      </w:pPr>
      <w:r>
        <w:rPr>
          <w:rFonts w:ascii="Consolas" w:cs="Consolas" w:eastAsia="Consolas" w:hAnsi="Consolas"/>
          <w:color w:val="333333"/>
          <w:sz w:val="18"/>
          <w:szCs w:val="18"/>
        </w:rPr>
        <w:t xml:space="preserve">(df == "?").any(axis=1).sum()      # 2399 affected records</w:t>
      </w:r>
    </w:p>
    <w:p>
      <w:pPr>
        <w:spacing w:after="0" w:before="0" w:line="240"/>
        <w:ind w:left="220"/>
      </w:pPr>
      <w:r>
        <w:rPr>
          <w:rFonts w:ascii="Consolas" w:cs="Consolas" w:eastAsia="Consolas" w:hAnsi="Consolas"/>
          <w:color w:val="333333"/>
          <w:sz w:val="18"/>
          <w:szCs w:val="18"/>
        </w:rPr>
        <w:t xml:space="preserve"/>
      </w:r>
    </w:p>
    <w:p>
      <w:pPr>
        <w:spacing w:after="0" w:before="0" w:line="240"/>
        <w:ind w:left="220"/>
      </w:pPr>
      <w:r>
        <w:rPr>
          <w:rFonts w:ascii="Consolas" w:cs="Consolas" w:eastAsia="Consolas" w:hAnsi="Consolas"/>
          <w:color w:val="333333"/>
          <w:sz w:val="18"/>
          <w:szCs w:val="18"/>
        </w:rPr>
        <w:t xml:space="preserve">df["capital.gain"].value_counts()  # 99999 appears 159 times</w:t>
      </w:r>
    </w:p>
    <w:p>
      <w:pPr>
        <w:spacing w:after="0" w:before="0" w:line="240"/>
        <w:ind w:left="220"/>
      </w:pPr>
      <w:r>
        <w:rPr>
          <w:rFonts w:ascii="Consolas" w:cs="Consolas" w:eastAsia="Consolas" w:hAnsi="Consolas"/>
          <w:color w:val="333333"/>
          <w:sz w:val="18"/>
          <w:szCs w:val="18"/>
        </w:rPr>
        <w:t xml:space="preserve">df.loc[df["capital.gain"] == 99999, "income"].value_counts()   # all &gt;50K</w:t>
      </w:r>
    </w:p>
    <w:p>
      <w:pPr>
        <w:spacing w:after="0" w:before="0" w:line="240"/>
        <w:ind w:left="220"/>
      </w:pPr>
      <w:r>
        <w:rPr>
          <w:rFonts w:ascii="Consolas" w:cs="Consolas" w:eastAsia="Consolas" w:hAnsi="Consolas"/>
          <w:color w:val="333333"/>
          <w:sz w:val="18"/>
          <w:szCs w:val="18"/>
        </w:rPr>
        <w:t xml:space="preserve"/>
      </w:r>
    </w:p>
    <w:p>
      <w:pPr>
        <w:spacing w:after="0" w:before="0" w:line="240"/>
        <w:ind w:left="220"/>
      </w:pPr>
      <w:r>
        <w:rPr>
          <w:rFonts w:ascii="Consolas" w:cs="Consolas" w:eastAsia="Consolas" w:hAnsi="Consolas"/>
          <w:color w:val="333333"/>
          <w:sz w:val="18"/>
          <w:szCs w:val="18"/>
        </w:rPr>
        <w:t xml:space="preserve">df.duplicated().sum()              # 24</w:t>
      </w:r>
    </w:p>
    <w:p>
      <w:pPr>
        <w:spacing w:after="0" w:before="0" w:line="240"/>
        <w:ind w:left="220"/>
      </w:pPr>
      <w:r>
        <w:rPr>
          <w:rFonts w:ascii="Consolas" w:cs="Consolas" w:eastAsia="Consolas" w:hAnsi="Consolas"/>
          <w:color w:val="333333"/>
          <w:sz w:val="18"/>
          <w:szCs w:val="18"/>
        </w:rPr>
        <w:t xml:space="preserve">df["fnlwgt"].nunique()             # 21648 of 32561, so not a key</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Team E</w:t>
      <w:t xml:space="preserve">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Data problem statement</dc:title>
  <dc:creator>Team E</dc:creator>
  <dc:description>DSAI 6226 Data Engineering, Team E</dc:description>
  <cp:lastModifiedBy>Un-named</cp:lastModifiedBy>
  <cp:revision>1</cp:revision>
  <dcterms:created xsi:type="dcterms:W3CDTF">2026-08-23T07:46:27.765Z</dcterms:created>
  <dcterms:modified xsi:type="dcterms:W3CDTF">2026-08-23T07:46:27.767Z</dcterms:modified>
</cp:coreProperties>
</file>

<file path=docProps/custom.xml><?xml version="1.0" encoding="utf-8"?>
<Properties xmlns="http://schemas.openxmlformats.org/officeDocument/2006/custom-properties" xmlns:vt="http://schemas.openxmlformats.org/officeDocument/2006/docPropsVTypes"/>
</file>