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pPr>
      <w:r w:rsidDel="00000000" w:rsidR="00000000" w:rsidRPr="00000000">
        <w:rPr>
          <w:rtl w:val="0"/>
        </w:rPr>
        <w:t xml:space="preserve">Banjul</w:t>
      </w:r>
    </w:p>
    <w:p w:rsidR="00000000" w:rsidDel="00000000" w:rsidP="00000000" w:rsidRDefault="00000000" w:rsidRPr="00000000" w14:paraId="00000002">
      <w:pPr>
        <w:spacing w:after="240" w:lineRule="auto"/>
        <w:rPr>
          <w:b w:val="1"/>
          <w:bCs w:val="1"/>
          <w:color w:val="1f4e78"/>
          <w:sz w:val="28"/>
          <w:szCs w:val="28"/>
        </w:rPr>
      </w:pPr>
      <w:r w:rsidDel="00000000" w:rsidR="00000000" w:rsidRPr="00000000">
        <w:rPr>
          <w:b w:val="1"/>
          <w:bCs w:val="1"/>
          <w:color w:val="1f4e78"/>
          <w:sz w:val="28"/>
          <w:szCs w:val="28"/>
          <w:rtl w:val="0"/>
        </w:rPr>
        <w:t xml:space="preserve">Demonstrating data-driven governance with constrained resources and strong leadership commitment across West Africa.</w:t>
      </w:r>
    </w:p>
    <w:p w:rsidR="00000000" w:rsidDel="00000000" w:rsidP="00000000" w:rsidRDefault="00000000" w:rsidRPr="00000000" w14:paraId="00000003">
      <w:pPr>
        <w:widowControl w:val="0"/>
        <w:ind w:right="-90"/>
        <w:jc w:val="both"/>
        <w:rPr/>
      </w:pPr>
      <w:r w:rsidDel="00000000" w:rsidR="00000000" w:rsidRPr="00000000">
        <w:rPr>
          <w:rtl w:val="0"/>
        </w:rPr>
        <w:t xml:space="preserve">Across The Gambia, women and girls continue to face systemic barriers to access basic services, economic opportunities, and leadership roles. Limited access to clean water, low levels of education, high unemployment, and underrepresentation in civic participation spaces have constrained their ability to and break cycles of poverty. The City of Banjul seeks to address these intersecting challenges by driving a targeted and coordinated women’s empowerment agenda</w:t>
      </w:r>
    </w:p>
    <w:p w:rsidR="00000000" w:rsidDel="00000000" w:rsidP="00000000" w:rsidRDefault="00000000" w:rsidRPr="00000000" w14:paraId="00000004">
      <w:pPr>
        <w:widowControl w:val="0"/>
        <w:ind w:right="-90"/>
        <w:jc w:val="both"/>
        <w:rPr/>
      </w:pPr>
      <w:r w:rsidDel="00000000" w:rsidR="00000000" w:rsidRPr="00000000">
        <w:rPr>
          <w:rtl w:val="0"/>
        </w:rPr>
      </w:r>
    </w:p>
    <w:p w:rsidR="00000000" w:rsidDel="00000000" w:rsidP="00000000" w:rsidRDefault="00000000" w:rsidRPr="00000000" w14:paraId="00000005">
      <w:pPr>
        <w:widowControl w:val="0"/>
        <w:spacing w:after="0" w:before="0" w:lineRule="auto"/>
        <w:ind w:right="-90"/>
        <w:jc w:val="both"/>
        <w:rPr/>
      </w:pPr>
      <w:r w:rsidDel="00000000" w:rsidR="00000000" w:rsidRPr="00000000">
        <w:rPr>
          <w:rtl w:val="0"/>
        </w:rPr>
        <w:t xml:space="preserve">Empowering 5,000 women and girls in Banjul by expanding access to essential services, promoting economic inclusion, and opening pathways to civic and political leadership; ensuring meaningful participation in the city's social and economic transformation by 2027 is the legacy goal focus for Lord Mayor Rohey Malick Lowe. AMALI Data Programme (ADP) support surfaced the following key areas as important for Banjul City Council: </w:t>
      </w:r>
    </w:p>
    <w:p w:rsidR="00000000" w:rsidDel="00000000" w:rsidP="00000000" w:rsidRDefault="00000000" w:rsidRPr="00000000" w14:paraId="00000006">
      <w:pPr>
        <w:widowControl w:val="0"/>
        <w:numPr>
          <w:ilvl w:val="0"/>
          <w:numId w:val="1"/>
        </w:numPr>
        <w:spacing w:after="0" w:afterAutospacing="0" w:lineRule="auto"/>
        <w:ind w:left="720" w:hanging="360"/>
        <w:jc w:val="both"/>
        <w:rPr>
          <w:u w:val="none"/>
        </w:rPr>
      </w:pPr>
      <w:r w:rsidDel="00000000" w:rsidR="00000000" w:rsidRPr="00000000">
        <w:rPr>
          <w:rtl w:val="0"/>
        </w:rPr>
        <w:t xml:space="preserve">Expanding access to clean water in rural and peri-urban areas by constructing boreholes </w:t>
      </w:r>
    </w:p>
    <w:p w:rsidR="00000000" w:rsidDel="00000000" w:rsidP="00000000" w:rsidRDefault="00000000" w:rsidRPr="00000000" w14:paraId="00000007">
      <w:pPr>
        <w:widowControl w:val="0"/>
        <w:numPr>
          <w:ilvl w:val="0"/>
          <w:numId w:val="1"/>
        </w:numPr>
        <w:spacing w:after="0" w:afterAutospacing="0" w:lineRule="auto"/>
        <w:ind w:left="720" w:hanging="360"/>
        <w:jc w:val="both"/>
        <w:rPr>
          <w:u w:val="none"/>
        </w:rPr>
      </w:pPr>
      <w:r w:rsidDel="00000000" w:rsidR="00000000" w:rsidRPr="00000000">
        <w:rPr>
          <w:rtl w:val="0"/>
        </w:rPr>
        <w:t xml:space="preserve">Supporting female-led urban farming by providing inputs to boost food production, income, and self-reliance.</w:t>
      </w:r>
    </w:p>
    <w:p w:rsidR="00000000" w:rsidDel="00000000" w:rsidP="00000000" w:rsidRDefault="00000000" w:rsidRPr="00000000" w14:paraId="00000008">
      <w:pPr>
        <w:widowControl w:val="0"/>
        <w:numPr>
          <w:ilvl w:val="0"/>
          <w:numId w:val="1"/>
        </w:numPr>
        <w:spacing w:after="0" w:afterAutospacing="0" w:lineRule="auto"/>
        <w:ind w:left="720" w:hanging="360"/>
        <w:jc w:val="both"/>
        <w:rPr>
          <w:u w:val="none"/>
        </w:rPr>
      </w:pPr>
      <w:r w:rsidDel="00000000" w:rsidR="00000000" w:rsidRPr="00000000">
        <w:rPr>
          <w:rtl w:val="0"/>
        </w:rPr>
        <w:t xml:space="preserve">Building young women’s leadership capacity to participate in politics and civic life.</w:t>
      </w:r>
    </w:p>
    <w:p w:rsidR="00000000" w:rsidDel="00000000" w:rsidP="00000000" w:rsidRDefault="00000000" w:rsidRPr="00000000" w14:paraId="00000009">
      <w:pPr>
        <w:widowControl w:val="0"/>
        <w:numPr>
          <w:ilvl w:val="0"/>
          <w:numId w:val="1"/>
        </w:numPr>
        <w:spacing w:after="0" w:afterAutospacing="0" w:lineRule="auto"/>
        <w:ind w:left="720" w:hanging="360"/>
        <w:jc w:val="both"/>
        <w:rPr>
          <w:u w:val="none"/>
        </w:rPr>
      </w:pPr>
      <w:r w:rsidDel="00000000" w:rsidR="00000000" w:rsidRPr="00000000">
        <w:rPr>
          <w:rtl w:val="0"/>
        </w:rPr>
        <w:t xml:space="preserve">Expanding access to education for disadvantaged young women through scholarships </w:t>
      </w:r>
    </w:p>
    <w:p w:rsidR="00000000" w:rsidDel="00000000" w:rsidP="00000000" w:rsidRDefault="00000000" w:rsidRPr="00000000" w14:paraId="0000000A">
      <w:pPr>
        <w:widowControl w:val="0"/>
        <w:numPr>
          <w:ilvl w:val="0"/>
          <w:numId w:val="1"/>
        </w:numPr>
        <w:spacing w:after="0" w:afterAutospacing="0" w:lineRule="auto"/>
        <w:ind w:left="720" w:hanging="360"/>
        <w:jc w:val="both"/>
        <w:rPr>
          <w:u w:val="none"/>
        </w:rPr>
      </w:pPr>
      <w:r w:rsidDel="00000000" w:rsidR="00000000" w:rsidRPr="00000000">
        <w:rPr>
          <w:rtl w:val="0"/>
        </w:rPr>
        <w:t xml:space="preserve">Creating green jobs for young women via the Clean Future Solutions programme (Linked to the Youth Climate Action Fund)</w:t>
      </w:r>
    </w:p>
    <w:p w:rsidR="00000000" w:rsidDel="00000000" w:rsidP="00000000" w:rsidRDefault="00000000" w:rsidRPr="00000000" w14:paraId="0000000B">
      <w:pPr>
        <w:widowControl w:val="0"/>
        <w:numPr>
          <w:ilvl w:val="0"/>
          <w:numId w:val="1"/>
        </w:numPr>
        <w:spacing w:after="60" w:lineRule="auto"/>
        <w:ind w:left="720" w:hanging="360"/>
        <w:jc w:val="both"/>
        <w:rPr>
          <w:u w:val="none"/>
        </w:rPr>
      </w:pPr>
      <w:r w:rsidDel="00000000" w:rsidR="00000000" w:rsidRPr="00000000">
        <w:rPr>
          <w:rtl w:val="0"/>
        </w:rPr>
        <w:t xml:space="preserve">Supporting women-led businesses through registrations, coaching and micro-finance access</w:t>
      </w:r>
      <w:r w:rsidDel="00000000" w:rsidR="00000000" w:rsidRPr="00000000">
        <w:rPr>
          <w:rtl w:val="0"/>
        </w:rPr>
      </w:r>
    </w:p>
    <w:p w:rsidR="00000000" w:rsidDel="00000000" w:rsidP="00000000" w:rsidRDefault="00000000" w:rsidRPr="00000000" w14:paraId="0000000C">
      <w:pPr>
        <w:spacing w:after="0" w:before="0" w:lineRule="auto"/>
        <w:jc w:val="both"/>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E">
            <w:pPr>
              <w:spacing w:after="0" w:lineRule="auto"/>
              <w:rPr/>
            </w:pPr>
            <w:r w:rsidDel="00000000" w:rsidR="00000000" w:rsidRPr="00000000">
              <w:rPr>
                <w:b w:val="0"/>
                <w:bCs w:val="0"/>
                <w:color w:val="000000"/>
                <w:sz w:val="22"/>
                <w:szCs w:val="22"/>
                <w:rtl w:val="0"/>
              </w:rPr>
              <w:t xml:space="preserve">Established Performance Management Meetings representing commitment to continuous improvement routines regardless of who occupies the mayor's office.</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F">
            <w:pPr>
              <w:spacing w:after="0" w:lineRule="auto"/>
              <w:rPr/>
            </w:pPr>
            <w:r w:rsidDel="00000000" w:rsidR="00000000" w:rsidRPr="00000000">
              <w:rPr>
                <w:b w:val="0"/>
                <w:bCs w:val="0"/>
                <w:color w:val="000000"/>
                <w:sz w:val="22"/>
                <w:szCs w:val="22"/>
                <w:rtl w:val="0"/>
              </w:rPr>
              <w:t xml:space="preserve">Developed data inventory and performance dashboard tracking progress on the city's legacy goals with available data resources.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10">
            <w:pPr>
              <w:spacing w:after="0" w:lineRule="auto"/>
              <w:rPr/>
            </w:pPr>
            <w:r w:rsidDel="00000000" w:rsidR="00000000" w:rsidRPr="00000000">
              <w:rPr>
                <w:b w:val="0"/>
                <w:bCs w:val="0"/>
                <w:color w:val="000000"/>
                <w:sz w:val="22"/>
                <w:szCs w:val="22"/>
                <w:rtl w:val="0"/>
              </w:rPr>
              <w:t xml:space="preserve">Built institutional capacity through weekly coaching sessions and site visits, demonstrating that data-driven governance is achievable in resource-constrained contexts.</w:t>
            </w:r>
            <w:r w:rsidDel="00000000" w:rsidR="00000000" w:rsidRPr="00000000">
              <w:rPr>
                <w:rtl w:val="0"/>
              </w:rPr>
            </w:r>
          </w:p>
        </w:tc>
      </w:tr>
    </w:tbl>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pStyle w:val="Heading2"/>
        <w:spacing w:after="0" w:before="0" w:lineRule="auto"/>
        <w:rPr/>
      </w:pPr>
      <w:r w:rsidDel="00000000" w:rsidR="00000000" w:rsidRPr="00000000">
        <w:rPr>
          <w:rtl w:val="0"/>
        </w:rPr>
        <w:t xml:space="preserve">Background</w:t>
      </w:r>
    </w:p>
    <w:p w:rsidR="00000000" w:rsidDel="00000000" w:rsidP="00000000" w:rsidRDefault="00000000" w:rsidRPr="00000000" w14:paraId="00000013">
      <w:pPr>
        <w:spacing w:after="0" w:before="0" w:line="240" w:lineRule="auto"/>
        <w:jc w:val="both"/>
        <w:rPr/>
      </w:pPr>
      <w:r w:rsidDel="00000000" w:rsidR="00000000" w:rsidRPr="00000000">
        <w:rPr>
          <w:rtl w:val="0"/>
        </w:rPr>
      </w:r>
    </w:p>
    <w:p w:rsidR="00000000" w:rsidDel="00000000" w:rsidP="00000000" w:rsidRDefault="00000000" w:rsidRPr="00000000" w14:paraId="00000014">
      <w:pPr>
        <w:spacing w:after="0" w:before="0" w:line="240" w:lineRule="auto"/>
        <w:jc w:val="both"/>
        <w:rPr/>
      </w:pPr>
      <w:r w:rsidDel="00000000" w:rsidR="00000000" w:rsidRPr="00000000">
        <w:rPr>
          <w:sz w:val="22"/>
          <w:szCs w:val="22"/>
          <w:rtl w:val="0"/>
        </w:rPr>
        <w:t xml:space="preserve">Banjul, the capital of Gambia, is demonstrating what is possible for African cities with constrained resources but strong leadership commitment. The city engaged with the AMALI Data Programme to establish data practices that would enable more effective and accountable governance. Despite resource limitations, the city's leadership has prioritized performance management and evidence-based decision-making as pathways to improve service delivery. Through the AMALI engagement, Banjul has worked to align available data with strategic objectives and establish routines that keep the city focused on delivering against key performance targets.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16">
            <w:pPr>
              <w:jc w:val="center"/>
              <w:rPr/>
            </w:pPr>
            <w:r w:rsidDel="00000000" w:rsidR="00000000" w:rsidRPr="00000000">
              <w:rPr>
                <w:b w:val="1"/>
                <w:bCs w:val="1"/>
                <w:color w:val="ffffff"/>
                <w:sz w:val="32"/>
                <w:szCs w:val="32"/>
                <w:rtl w:val="0"/>
              </w:rPr>
              <w:t xml:space="preserve">Banjul</w:t>
            </w:r>
            <w:r w:rsidDel="00000000" w:rsidR="00000000" w:rsidRPr="00000000">
              <w:rPr>
                <w:rtl w:val="0"/>
              </w:rPr>
            </w:r>
          </w:p>
        </w:tc>
      </w:tr>
    </w:tbl>
    <w:p w:rsidR="00000000" w:rsidDel="00000000" w:rsidP="00000000" w:rsidRDefault="00000000" w:rsidRPr="00000000" w14:paraId="00000017">
      <w:pPr>
        <w:pStyle w:val="Heading2"/>
        <w:rPr/>
      </w:pPr>
      <w:r w:rsidDel="00000000" w:rsidR="00000000" w:rsidRPr="00000000">
        <w:rPr>
          <w:rtl w:val="0"/>
        </w:rPr>
        <w:t xml:space="preserve">Impact</w:t>
      </w:r>
    </w:p>
    <w:p w:rsidR="00000000" w:rsidDel="00000000" w:rsidP="00000000" w:rsidRDefault="00000000" w:rsidRPr="00000000" w14:paraId="00000018">
      <w:pPr>
        <w:spacing w:after="240" w:line="240" w:lineRule="auto"/>
        <w:jc w:val="both"/>
        <w:rPr>
          <w:sz w:val="22"/>
          <w:szCs w:val="22"/>
        </w:rPr>
      </w:pPr>
      <w:r w:rsidDel="00000000" w:rsidR="00000000" w:rsidRPr="00000000">
        <w:rPr>
          <w:sz w:val="22"/>
          <w:szCs w:val="22"/>
          <w:rtl w:val="0"/>
        </w:rPr>
        <w:t xml:space="preserve">Banjul's learning journey and the team's effort towards improvement demonstrates what is possible for African cities with constrained resources but strong leadership commitment.</w:t>
      </w:r>
      <w:r w:rsidDel="00000000" w:rsidR="00000000" w:rsidRPr="00000000">
        <w:rPr>
          <w:rtl w:val="0"/>
        </w:rPr>
        <w:t xml:space="preserve"> In the context of Banjul City Council t</w:t>
      </w:r>
      <w:r w:rsidDel="00000000" w:rsidR="00000000" w:rsidRPr="00000000">
        <w:rPr>
          <w:sz w:val="22"/>
          <w:szCs w:val="22"/>
          <w:rtl w:val="0"/>
        </w:rPr>
        <w:t xml:space="preserve">h</w:t>
      </w:r>
      <w:r w:rsidDel="00000000" w:rsidR="00000000" w:rsidRPr="00000000">
        <w:rPr>
          <w:rtl w:val="0"/>
        </w:rPr>
        <w:t xml:space="preserve">e</w:t>
      </w:r>
      <w:r w:rsidDel="00000000" w:rsidR="00000000" w:rsidRPr="00000000">
        <w:rPr>
          <w:sz w:val="22"/>
          <w:szCs w:val="22"/>
          <w:rtl w:val="0"/>
        </w:rPr>
        <w:t xml:space="preserve"> institutional embedding of governance practices </w:t>
      </w:r>
      <w:r w:rsidDel="00000000" w:rsidR="00000000" w:rsidRPr="00000000">
        <w:rPr>
          <w:rtl w:val="0"/>
        </w:rPr>
        <w:t xml:space="preserve">becomes</w:t>
      </w:r>
      <w:r w:rsidDel="00000000" w:rsidR="00000000" w:rsidRPr="00000000">
        <w:rPr>
          <w:sz w:val="22"/>
          <w:szCs w:val="22"/>
          <w:rtl w:val="0"/>
        </w:rPr>
        <w:t xml:space="preserve"> critical for sustainability </w:t>
      </w:r>
      <w:r w:rsidDel="00000000" w:rsidR="00000000" w:rsidRPr="00000000">
        <w:rPr>
          <w:rtl w:val="0"/>
        </w:rPr>
        <w:t xml:space="preserve">as </w:t>
      </w:r>
      <w:r w:rsidDel="00000000" w:rsidR="00000000" w:rsidRPr="00000000">
        <w:rPr>
          <w:sz w:val="22"/>
          <w:szCs w:val="22"/>
          <w:rtl w:val="0"/>
        </w:rPr>
        <w:t xml:space="preserve">resource fluctuat</w:t>
      </w:r>
      <w:r w:rsidDel="00000000" w:rsidR="00000000" w:rsidRPr="00000000">
        <w:rPr>
          <w:rtl w:val="0"/>
        </w:rPr>
        <w:t xml:space="preserve">ions</w:t>
      </w:r>
      <w:r w:rsidDel="00000000" w:rsidR="00000000" w:rsidRPr="00000000">
        <w:rPr>
          <w:sz w:val="22"/>
          <w:szCs w:val="22"/>
          <w:rtl w:val="0"/>
        </w:rPr>
        <w:t xml:space="preserve"> and political transitions </w:t>
      </w:r>
      <w:r w:rsidDel="00000000" w:rsidR="00000000" w:rsidRPr="00000000">
        <w:rPr>
          <w:rtl w:val="0"/>
        </w:rPr>
        <w:t xml:space="preserve">may occur</w:t>
      </w:r>
      <w:r w:rsidDel="00000000" w:rsidR="00000000" w:rsidRPr="00000000">
        <w:rPr>
          <w:sz w:val="22"/>
          <w:szCs w:val="22"/>
          <w:rtl w:val="0"/>
        </w:rPr>
        <w:t xml:space="preserve">. Through REFELA networks and UCLG Africa connections, the lessons from Banjul's work can inform similar efforts across the continent, contributing to a broader movement toward data-driven local governance. The city has demonstrated that sophisticated data systems are not prerequisites for data-driven governance</w:t>
      </w:r>
      <w:r w:rsidDel="00000000" w:rsidR="00000000" w:rsidRPr="00000000">
        <w:rPr>
          <w:rtl w:val="0"/>
        </w:rPr>
        <w:t xml:space="preserve">, </w:t>
      </w:r>
      <w:r w:rsidDel="00000000" w:rsidR="00000000" w:rsidRPr="00000000">
        <w:rPr>
          <w:sz w:val="22"/>
          <w:szCs w:val="22"/>
          <w:rtl w:val="0"/>
        </w:rPr>
        <w:t xml:space="preserve">what matters most is commitment to regular performance review, honest assessment of challenges, and collaborative problem-solving. This approach, proven effective in Banjul, offers an accessible pathway for other African cities to establish sustainable performance management practices. </w:t>
      </w:r>
    </w:p>
    <w:p w:rsidR="00000000" w:rsidDel="00000000" w:rsidP="00000000" w:rsidRDefault="00000000" w:rsidRPr="00000000" w14:paraId="00000019">
      <w:pPr>
        <w:jc w:val="both"/>
        <w:rPr/>
      </w:pPr>
      <w:r w:rsidDel="00000000" w:rsidR="00000000" w:rsidRPr="00000000">
        <w:rPr>
          <w:rtl w:val="0"/>
        </w:rPr>
        <w:t xml:space="preserve">Prior to ADP support the Banjul City Council team lacked data systems technical capacity for data oriented work. Programme records were also paper-based, fragmented and not centralised. Additionally, leadership had limited visibility of delivery and impact, making it difficult to identify gaps or direct resources effectively. Banjul now has its first consolidated, digital view of its women’s empowerment programmes, giving leadership clear visibility of delivery and gaps. Performance discussions shifted from anecdotal updates to evidence-based, strengthening accountability. City Staff have been capacitated to conduct activities beyond their normal roles; this has resulted in one staff member refining coordination amongst key players and the ICT lead gaining data analysis skills.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spacing w:after="240" w:lineRule="auto"/>
        <w:jc w:val="both"/>
        <w:rPr>
          <w:b w:val="1"/>
          <w:bCs w:val="1"/>
        </w:rPr>
      </w:pPr>
      <w:r w:rsidDel="00000000" w:rsidR="00000000" w:rsidRPr="00000000">
        <w:rPr>
          <w:b w:val="1"/>
          <w:bCs w:val="1"/>
          <w:rtl w:val="0"/>
        </w:rPr>
        <w:t xml:space="preserve">Significance Factor for this work in Banjul City Council  </w:t>
      </w:r>
    </w:p>
    <w:p w:rsidR="00000000" w:rsidDel="00000000" w:rsidP="00000000" w:rsidRDefault="00000000" w:rsidRPr="00000000" w14:paraId="0000001C">
      <w:pPr>
        <w:widowControl w:val="0"/>
        <w:spacing w:after="100" w:before="240" w:line="240" w:lineRule="auto"/>
        <w:jc w:val="both"/>
        <w:rPr>
          <w:color w:val="ff0000"/>
        </w:rPr>
      </w:pPr>
      <w:r w:rsidDel="00000000" w:rsidR="00000000" w:rsidRPr="00000000">
        <w:rPr>
          <w:rtl w:val="0"/>
        </w:rPr>
        <w:t xml:space="preserve">Banjul City Council's journey demonstrates that data-driven governance is achievable even in the most resource-constrained contexts, a powerful proof of concept for African cities that may assume sophisticated data systems are prerequisites for performance management. Prior to the AMALI Data Programme, the council operated with paper-based, fragmented records and limited visibility into programme delivery and impact. Through sustained coaching, the city has transitioned to its first consolidated, digital view of women's empowerment programmes, shifted performance discussions from anecdotal updates to evidence-based assessments, and institutionalised Performance Management Meetings designed to outlast any single political administration. Critically, the city has translated this newfound data capability into tangible resource mobilisation, leveraging concrete evidence of service coverage gaps to negotiate 230 solar street lights and waste management trucks through a Chinese partnership, secure selection for a Dubai initiative, and advance a Saudi Arabia mobility pilot aligned with youth employment. Through REFELA networks and UCLG Africa connections, Banjul's experience offers a replicable and accessible model for other African cities, proving that what matters most is not the sophistication of systems but the commitment to regular performance review, honest assessment of challenges, and collaborative problem-solving.</w:t>
      </w:r>
      <w:r w:rsidDel="00000000" w:rsidR="00000000" w:rsidRPr="00000000">
        <w:rPr>
          <w:rtl w:val="0"/>
        </w:rPr>
      </w:r>
    </w:p>
    <w:p w:rsidR="00000000" w:rsidDel="00000000" w:rsidP="00000000" w:rsidRDefault="00000000" w:rsidRPr="00000000" w14:paraId="0000001D">
      <w:pPr>
        <w:widowControl w:val="0"/>
        <w:spacing w:line="240" w:lineRule="auto"/>
        <w:jc w:val="both"/>
        <w:rPr>
          <w:color w:val="ff000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qWGeNn/lS1g8TH2n2KtTJuezdg==">CgMxLjA4AHIhMWgwWm1FYXRNa0k4WU9UVks5MXI3a2xRSmpaTFhibkJl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2026-02-17T13:10:57.440Z</dcterms:created>
  <dc:creator>Un-named</dc:creator>
</cp:coreProperties>
</file>

<file path=docProps/custom.xml><?xml version="1.0" encoding="utf-8"?>
<Properties xmlns="http://schemas.openxmlformats.org/officeDocument/2006/custom-properties" xmlns:vt="http://schemas.openxmlformats.org/officeDocument/2006/docPropsVTypes"/>
</file>