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0" w:after="80"/>
        <w:jc w:val="left"/>
      </w:pPr>
      <w:r>
        <w:rPr>
          <w:rFonts w:ascii="Arial" w:cs="Arial" w:eastAsia="Arial" w:hAnsi="Arial"/>
          <w:b/>
          <w:bCs/>
          <w:caps/>
          <w:color w:val="F4A300"/>
          <w:sz w:val="24"/>
          <w:szCs w:val="24"/>
        </w:rPr>
        <w:t xml:space="preserve">AMALI DATA PROGRAMME</w:t>
      </w:r>
    </w:p>
    <w:p>
      <w:pPr>
        <w:spacing w:before="0" w:after="200"/>
        <w:jc w:val="left"/>
      </w:pPr>
      <w:r>
        <w:rPr>
          <w:rFonts w:ascii="Arial" w:cs="Arial" w:eastAsia="Arial" w:hAnsi="Arial"/>
          <w:b/>
          <w:bCs/>
          <w:color w:val="1A2E4A"/>
          <w:sz w:val="72"/>
          <w:szCs w:val="72"/>
        </w:rPr>
        <w:t xml:space="preserve">About the Programme</w:t>
      </w:r>
    </w:p>
    <w:p>
      <w:pPr>
        <w:pBdr>
          <w:bottom w:val="single" w:color="F4A300" w:sz="4"/>
        </w:pBdr>
        <w:spacing w:before="60" w:after="60"/>
      </w:pPr>
    </w:p>
    <w:p>
      <w:pPr>
        <w:spacing w:before="200"/>
      </w:pPr>
    </w:p>
    <w:p>
      <w:pPr>
        <w:spacing w:before="0" w:after="120"/>
        <w:jc w:val="left"/>
      </w:pPr>
      <w:r>
        <w:rPr>
          <w:rFonts w:ascii="Arial" w:cs="Arial" w:eastAsia="Arial" w:hAnsi="Arial"/>
          <w:i/>
          <w:iCs/>
          <w:color w:val="444444"/>
          <w:sz w:val="26"/>
          <w:szCs w:val="26"/>
        </w:rPr>
        <w:t xml:space="preserve">Empowering African city governments to harness the power of data for lasting impact.</w:t>
      </w:r>
    </w:p>
    <w:p>
      <w:pPr>
        <w:spacing w:before="2800"/>
      </w:pPr>
    </w:p>
    <w:p>
      <w:pPr>
        <w:pBdr>
          <w:bottom w:val="single" w:color="D0D7E3" w:sz="4"/>
        </w:pBdr>
        <w:spacing w:before="60" w:after="60"/>
      </w:pPr>
    </w:p>
    <w:p>
      <w:pPr>
        <w:spacing w:before="120" w:after="0"/>
        <w:jc w:val="left"/>
      </w:pPr>
      <w:r>
        <w:rPr>
          <w:rFonts w:ascii="Arial" w:cs="Arial" w:eastAsia="Arial" w:hAnsi="Arial"/>
          <w:color w:val="666666"/>
          <w:sz w:val="20"/>
          <w:szCs w:val="20"/>
        </w:rPr>
        <w:t xml:space="preserve">2025 Programme Year  |  AMALI Data Programme</w:t>
      </w:r>
    </w:p>
    <w:p>
      <w:pPr>
        <w:sectPr>
          <w:pgSz w:w="12240" w:h="15840" w:orient="portrait"/>
          <w:pgMar w:top="1440" w:right="1440" w:bottom="1440" w:left="1440" w:header="708" w:footer="708" w:gutter="0"/>
          <w:pgNumType/>
          <w:docGrid w:linePitch="360"/>
        </w:sectPr>
      </w:pPr>
    </w:p>
    <w:p>
      <w:pPr>
        <w:spacing w:before="200" w:after="60"/>
      </w:pPr>
      <w:r>
        <w:rPr>
          <w:rFonts w:ascii="Arial" w:cs="Arial" w:eastAsia="Arial" w:hAnsi="Arial"/>
          <w:b/>
          <w:bCs/>
          <w:caps/>
          <w:color w:val="FFFFFF"/>
          <w:sz w:val="16"/>
          <w:szCs w:val="16"/>
          <w:shd w:fill="1F5C8B" w:val="clear"/>
        </w:rPr>
        <w:t xml:space="preserve">  About the Programme  </w:t>
      </w:r>
    </w:p>
    <w:p>
      <w:pPr>
        <w:spacing w:before="280" w:after="120"/>
      </w:pPr>
      <w:r>
        <w:rPr>
          <w:rFonts w:ascii="Arial" w:cs="Arial" w:eastAsia="Arial" w:hAnsi="Arial"/>
          <w:b/>
          <w:bCs/>
          <w:color w:val="1A2E4A"/>
          <w:sz w:val="36"/>
          <w:szCs w:val="36"/>
        </w:rPr>
        <w:t xml:space="preserve">What is the AMALI Data Programme?</w:t>
      </w:r>
    </w:p>
    <w:p>
      <w:pPr>
        <w:pBdr>
          <w:bottom w:val="single" w:color="F4A300" w:sz="4"/>
        </w:pBdr>
        <w:spacing w:before="60" w:after="60"/>
      </w:pPr>
    </w:p>
    <w:p>
      <w:pPr>
        <w:spacing w:before="100" w:after="80"/>
      </w:pPr>
      <w:r>
        <w:rPr>
          <w:rFonts w:ascii="Arial" w:cs="Arial" w:eastAsia="Arial" w:hAnsi="Arial"/>
          <w:color w:val="444444"/>
          <w:sz w:val="22"/>
          <w:szCs w:val="22"/>
        </w:rPr>
        <w:t xml:space="preserve">The AMALI Data Programme (ADP) is a structured, city-level capacity-building initiative designed to strengthen the ability of African municipal governments to collect, manage, analyse, and use data to drive performance management and deliver on their leaders' legacy goals.</w:t>
      </w:r>
    </w:p>
    <w:p>
      <w:pPr>
        <w:spacing w:before="80" w:after="140"/>
      </w:pPr>
      <w:r>
        <w:rPr>
          <w:rFonts w:ascii="Arial" w:cs="Arial" w:eastAsia="Arial" w:hAnsi="Arial"/>
          <w:color w:val="444444"/>
          <w:sz w:val="22"/>
          <w:szCs w:val="22"/>
        </w:rPr>
        <w:t xml:space="preserve">Working directly with Mayors and their city teams, the ADP provides hands-on coaching, technical assistance, and access to self-guided learning resources. The programme supports city governments in establishing a culture of data-driven leadership — one that enhances transparency, accountability, and effective resource allocation across city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5F7FA" w:val="clear"/>
            <w:tcMar>
              <w:top w:type="dxa" w:w="140"/>
              <w:left w:type="dxa" w:w="200"/>
              <w:bottom w:type="dxa" w:w="140"/>
              <w:right w:type="dxa" w:w="200"/>
            </w:tcMar>
          </w:tcPr>
          <w:p>
            <w:pPr>
              <w:spacing w:after="60"/>
            </w:pPr>
            <w:r>
              <w:rPr>
                <w:rFonts w:ascii="Arial" w:cs="Arial" w:eastAsia="Arial" w:hAnsi="Arial"/>
                <w:b/>
                <w:bCs/>
                <w:color w:val="1A2E4A"/>
                <w:sz w:val="24"/>
                <w:szCs w:val="24"/>
              </w:rPr>
              <w:t xml:space="preserve">Our Core Purpose</w:t>
            </w:r>
          </w:p>
          <w:p>
            <w:r>
              <w:rPr>
                <w:rFonts w:ascii="Arial" w:cs="Arial" w:eastAsia="Arial" w:hAnsi="Arial"/>
                <w:color w:val="444444"/>
                <w:sz w:val="21"/>
                <w:szCs w:val="21"/>
              </w:rPr>
              <w:t xml:space="preserve">To empower city governments across Africa to harness data as a tool for decision-making, ensuring that every Mayor can monitor and evaluate progress toward their legacy goal with confidence, clarity, and evidence.</w:t>
            </w:r>
          </w:p>
        </w:tc>
      </w:tr>
    </w:tbl>
    <w:p>
      <w:pPr>
        <w:spacing w:before="160"/>
      </w:pPr>
    </w:p>
    <w:p>
      <w:pPr>
        <w:spacing w:before="200" w:after="60"/>
      </w:pPr>
      <w:r>
        <w:rPr>
          <w:rFonts w:ascii="Arial" w:cs="Arial" w:eastAsia="Arial" w:hAnsi="Arial"/>
          <w:b/>
          <w:bCs/>
          <w:caps/>
          <w:color w:val="FFFFFF"/>
          <w:sz w:val="16"/>
          <w:szCs w:val="16"/>
          <w:shd w:fill="1F5C8B" w:val="clear"/>
        </w:rPr>
        <w:t xml:space="preserve">  Our Approach  </w:t>
      </w:r>
    </w:p>
    <w:p>
      <w:pPr>
        <w:spacing w:before="280" w:after="120"/>
      </w:pPr>
      <w:r>
        <w:rPr>
          <w:rFonts w:ascii="Arial" w:cs="Arial" w:eastAsia="Arial" w:hAnsi="Arial"/>
          <w:b/>
          <w:bCs/>
          <w:color w:val="1A2E4A"/>
          <w:sz w:val="36"/>
          <w:szCs w:val="36"/>
        </w:rPr>
        <w:t xml:space="preserve">Built Around the Mayor's Legacy Goal</w:t>
      </w:r>
    </w:p>
    <w:p>
      <w:pPr>
        <w:pBdr>
          <w:bottom w:val="single" w:color="F4A300" w:sz="4"/>
        </w:pBdr>
        <w:spacing w:before="60" w:after="60"/>
      </w:pPr>
    </w:p>
    <w:p>
      <w:pPr>
        <w:spacing w:before="100" w:after="80"/>
      </w:pPr>
      <w:r>
        <w:rPr>
          <w:rFonts w:ascii="Arial" w:cs="Arial" w:eastAsia="Arial" w:hAnsi="Arial"/>
          <w:color w:val="444444"/>
          <w:sz w:val="22"/>
          <w:szCs w:val="22"/>
        </w:rPr>
        <w:t xml:space="preserve">At the heart of the ADP is a simple but powerful idea: every city leader has a vision — a legacy goal — that defines what they want to achieve for their community. The programme is designed to connect that vision directly to data, building the systems, skills, and routines that allow city teams to track progress, identify challenges, and make informed decisions in real time.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Data-Driven Culture</w:t>
            </w:r>
          </w:p>
          <w:p>
            <w:r>
              <w:rPr>
                <w:rFonts w:ascii="Arial" w:cs="Arial" w:eastAsia="Arial" w:hAnsi="Arial"/>
                <w:color w:val="444444"/>
                <w:sz w:val="21"/>
                <w:szCs w:val="21"/>
              </w:rPr>
              <w:t xml:space="preserve">We foster a spirit of continuous improvement and equip city teams with the expertise needed to interpret data effectively and translate insights into action.</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Community Ownership</w:t>
            </w:r>
          </w:p>
          <w:p>
            <w:r>
              <w:rPr>
                <w:rFonts w:ascii="Arial" w:cs="Arial" w:eastAsia="Arial" w:hAnsi="Arial"/>
                <w:color w:val="444444"/>
                <w:sz w:val="21"/>
                <w:szCs w:val="21"/>
              </w:rPr>
              <w:t xml:space="preserve">Every system, tool, and process developed through the programme is designed to be owned and sustained by the city team long after the programme concludes.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Transparency &amp; Accountability</w:t>
            </w:r>
          </w:p>
          <w:p>
            <w:r>
              <w:rPr>
                <w:rFonts w:ascii="Arial" w:cs="Arial" w:eastAsia="Arial" w:hAnsi="Arial"/>
                <w:color w:val="444444"/>
                <w:sz w:val="21"/>
                <w:szCs w:val="21"/>
              </w:rPr>
              <w:t xml:space="preserve">The programme builds routines and reporting tools that enable Mayors to communicate progress to citizens, council members, and key stakeholders.</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Tailored to Context</w:t>
            </w:r>
          </w:p>
          <w:p>
            <w:r>
              <w:rPr>
                <w:rFonts w:ascii="Arial" w:cs="Arial" w:eastAsia="Arial" w:hAnsi="Arial"/>
                <w:color w:val="444444"/>
                <w:sz w:val="21"/>
                <w:szCs w:val="21"/>
              </w:rPr>
              <w:t xml:space="preserve">City Data Advisors work closely with each municipality to understand its unique operating environment, ensuring support is practical, relevant, and locally grounded.</w:t>
            </w:r>
          </w:p>
        </w:tc>
      </w:tr>
    </w:tbl>
    <w:p>
      <w:pPr>
        <w:spacing w:before="180"/>
      </w:pPr>
    </w:p>
    <w:p>
      <w:pPr>
        <w:spacing w:before="200" w:after="60"/>
      </w:pPr>
      <w:r>
        <w:rPr>
          <w:rFonts w:ascii="Arial" w:cs="Arial" w:eastAsia="Arial" w:hAnsi="Arial"/>
          <w:b/>
          <w:bCs/>
          <w:caps/>
          <w:color w:val="FFFFFF"/>
          <w:sz w:val="16"/>
          <w:szCs w:val="16"/>
          <w:shd w:fill="1F5C8B" w:val="clear"/>
        </w:rPr>
        <w:t xml:space="preserve">  Engagement Journey  </w:t>
      </w:r>
    </w:p>
    <w:p>
      <w:pPr>
        <w:spacing w:before="280" w:after="120"/>
      </w:pPr>
      <w:r>
        <w:rPr>
          <w:rFonts w:ascii="Arial" w:cs="Arial" w:eastAsia="Arial" w:hAnsi="Arial"/>
          <w:b/>
          <w:bCs/>
          <w:color w:val="1A2E4A"/>
          <w:sz w:val="36"/>
          <w:szCs w:val="36"/>
        </w:rPr>
        <w:t xml:space="preserve">The ADP Programme Journey</w:t>
      </w:r>
    </w:p>
    <w:p>
      <w:pPr>
        <w:pBdr>
          <w:bottom w:val="single" w:color="F4A300" w:sz="4"/>
        </w:pBdr>
        <w:spacing w:before="60" w:after="60"/>
      </w:pPr>
    </w:p>
    <w:p>
      <w:pPr>
        <w:spacing w:before="100" w:after="120"/>
      </w:pPr>
      <w:r>
        <w:rPr>
          <w:rFonts w:ascii="Arial" w:cs="Arial" w:eastAsia="Arial" w:hAnsi="Arial"/>
          <w:color w:val="444444"/>
          <w:sz w:val="22"/>
          <w:szCs w:val="22"/>
        </w:rPr>
        <w:t xml:space="preserve">The ADP follows a structured engagement journey spanning approximately one year, from city selection through aftercare. Each phase is designed to build on the last, progressively deepening city teams' data capabilities and embedding performance management as a sustainable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F5C8B" w:sz="1"/>
              <w:left w:val="single" w:color="1F5C8B" w:sz="1"/>
              <w:bottom w:val="single" w:color="1F5C8B" w:sz="1"/>
              <w:right w:val="single" w:color="1F5C8B"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800"/>
            <w:tcBorders>
              <w:top w:val="single" w:color="1F5C8B" w:sz="1"/>
              <w:left w:val="single" w:color="1F5C8B" w:sz="1"/>
              <w:bottom w:val="single" w:color="1F5C8B" w:sz="1"/>
              <w:right w:val="single" w:color="1F5C8B"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Timing</w:t>
            </w:r>
          </w:p>
        </w:tc>
        <w:tc>
          <w:tcPr>
            <w:tcW w:type="dxa" w:w="5360"/>
            <w:tcBorders>
              <w:top w:val="single" w:color="1F5C8B" w:sz="1"/>
              <w:left w:val="single" w:color="1F5C8B" w:sz="1"/>
              <w:bottom w:val="single" w:color="1F5C8B" w:sz="1"/>
              <w:right w:val="single" w:color="1F5C8B"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Key Activities</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City Onboarding</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Feb – Apr</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City selection, notification, informational interviews, and welcome calls. Baseline assessment survey conducted.</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Weekly Coaching (Phase 1)</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May – Jun/Jul</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10 structured coaching sessions covering: ADP orientation, stakeholder mapping, SWOT analysis, data management fundamentals, data inventorying, and performance management basics.</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1st In-City Site Visit</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Jun / Jul</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Two-day in-city workshop focused on establishing foundational data management practices, co-creating actionable strategies, and developing a data inventory framework for the legacy goal.</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Weekly Coaching (Phase 2)</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Jun/Jul – Aug/Sep</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Sessions 11–15 focused on completing the data inventory, designing a data reporting tool, refining legacy goal metrics/KPIs, and designing the performance management meeting routine.</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2nd In-City Site Visit</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September</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Launch of the data reporting tool (performance dashboard) and formal launch of the performance management routine. Capacity-building support for city officials.</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Performance Mgmt Launch</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September</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Session 16: Formal presentation of the city's performance management journey, manual review, and dashboard walkthrough with the city team.</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AMALI Reunion</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October</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All ADP cities convene. Mayors and governors share results, participate in discussions, and showcase their legacy goal progress.</w:t>
            </w:r>
          </w:p>
        </w:tc>
      </w:tr>
      <w:tr>
        <w:tc>
          <w:tcPr>
            <w:tcW w:type="dxa" w:w="2200"/>
            <w:tcBorders>
              <w:top w:val="single" w:color="D0D7E3" w:sz="1"/>
              <w:left w:val="single" w:color="D0D7E3" w:sz="1"/>
              <w:bottom w:val="single" w:color="D0D7E3" w:sz="1"/>
              <w:right w:val="single" w:color="D0D7E3" w:sz="1"/>
            </w:tcBorders>
            <w:shd w:fill="1A2E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Wrap-Up &amp; Aftercare</w:t>
            </w:r>
          </w:p>
        </w:tc>
        <w:tc>
          <w:tcPr>
            <w:tcW w:type="dxa" w:w="180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vAlign w:val="center"/>
          </w:tcPr>
          <w:p>
            <w:r>
              <w:rPr>
                <w:rFonts w:ascii="Arial" w:cs="Arial" w:eastAsia="Arial" w:hAnsi="Arial"/>
                <w:b/>
                <w:bCs/>
                <w:color w:val="1A2E4A"/>
                <w:sz w:val="20"/>
                <w:szCs w:val="20"/>
              </w:rPr>
              <w:t xml:space="preserve">Nov 2025 – Dec 2026</w:t>
            </w:r>
          </w:p>
        </w:tc>
        <w:tc>
          <w:tcPr>
            <w:tcW w:type="dxa" w:w="53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City briefing notes submitted, transition to aftercare, continued light-touch support to sustain the performance management routine.</w:t>
            </w:r>
          </w:p>
        </w:tc>
      </w:tr>
    </w:tbl>
    <w:p>
      <w:pPr>
        <w:spacing w:before="180"/>
      </w:pPr>
    </w:p>
    <w:p>
      <w:pPr>
        <w:spacing w:before="200" w:after="60"/>
      </w:pPr>
      <w:r>
        <w:rPr>
          <w:rFonts w:ascii="Arial" w:cs="Arial" w:eastAsia="Arial" w:hAnsi="Arial"/>
          <w:b/>
          <w:bCs/>
          <w:caps/>
          <w:color w:val="FFFFFF"/>
          <w:sz w:val="16"/>
          <w:szCs w:val="16"/>
          <w:shd w:fill="1F5C8B" w:val="clear"/>
        </w:rPr>
        <w:t xml:space="preserve">  Support Model  </w:t>
      </w:r>
    </w:p>
    <w:p>
      <w:pPr>
        <w:spacing w:before="280" w:after="120"/>
      </w:pPr>
      <w:r>
        <w:rPr>
          <w:rFonts w:ascii="Arial" w:cs="Arial" w:eastAsia="Arial" w:hAnsi="Arial"/>
          <w:b/>
          <w:bCs/>
          <w:color w:val="1A2E4A"/>
          <w:sz w:val="36"/>
          <w:szCs w:val="36"/>
        </w:rPr>
        <w:t xml:space="preserve">How We Support City Teams</w:t>
      </w:r>
    </w:p>
    <w:p>
      <w:pPr>
        <w:pBdr>
          <w:bottom w:val="single" w:color="F4A300" w:sz="4"/>
        </w:pBdr>
        <w:spacing w:before="60" w:after="60"/>
      </w:pPr>
    </w:p>
    <w:p>
      <w:pPr>
        <w:spacing w:before="100" w:after="120"/>
      </w:pPr>
      <w:r>
        <w:rPr>
          <w:rFonts w:ascii="Arial" w:cs="Arial" w:eastAsia="Arial" w:hAnsi="Arial"/>
          <w:color w:val="444444"/>
          <w:sz w:val="22"/>
          <w:szCs w:val="22"/>
        </w:rPr>
        <w:t xml:space="preserve">The ADP delivers support through four complementary channels, each designed to meet cities where they are and build their capacity progressively.</w:t>
      </w:r>
    </w:p>
    <w:p>
      <w:pPr>
        <w:spacing w:before="220" w:after="80"/>
      </w:pPr>
      <w:r>
        <w:rPr>
          <w:rFonts w:ascii="Arial" w:cs="Arial" w:eastAsia="Arial" w:hAnsi="Arial"/>
          <w:b/>
          <w:bCs/>
          <w:color w:val="1F5C8B"/>
          <w:sz w:val="26"/>
          <w:szCs w:val="26"/>
        </w:rPr>
        <w:t xml:space="preserve">1.  Weekly Coaching &amp; Technical Assistance</w:t>
      </w:r>
    </w:p>
    <w:p>
      <w:pPr>
        <w:spacing w:before="60" w:after="80"/>
      </w:pPr>
      <w:r>
        <w:rPr>
          <w:rFonts w:ascii="Arial" w:cs="Arial" w:eastAsia="Arial" w:hAnsi="Arial"/>
          <w:color w:val="444444"/>
          <w:sz w:val="22"/>
          <w:szCs w:val="22"/>
        </w:rPr>
        <w:t xml:space="preserve">Each city is paired with a dedicated City Data Advisor who provides weekly coaching calls throughout the programme. These sessions combine structured learning with hands-on problem-solving, allowing city teams to apply concepts directly to their own legacy goals and data contexts.</w:t>
      </w:r>
    </w:p>
    <w:p>
      <w:pPr>
        <w:spacing w:before="220" w:after="80"/>
      </w:pPr>
      <w:r>
        <w:rPr>
          <w:rFonts w:ascii="Arial" w:cs="Arial" w:eastAsia="Arial" w:hAnsi="Arial"/>
          <w:b/>
          <w:bCs/>
          <w:color w:val="1F5C8B"/>
          <w:sz w:val="26"/>
          <w:szCs w:val="26"/>
        </w:rPr>
        <w:t xml:space="preserve">2.  Two In-Person Site Visits</w:t>
      </w:r>
    </w:p>
    <w:p>
      <w:pPr>
        <w:spacing w:before="60" w:after="80"/>
      </w:pPr>
      <w:r>
        <w:rPr>
          <w:rFonts w:ascii="Arial" w:cs="Arial" w:eastAsia="Arial" w:hAnsi="Arial"/>
          <w:color w:val="444444"/>
          <w:sz w:val="22"/>
          <w:szCs w:val="22"/>
        </w:rPr>
        <w:t xml:space="preserve">Two immersive, two-day site visits bring the ADP team directly into the city. These visits serve as collaborative workshops where the city data team and key stakeholders co-develop strategies, pilot deliverables, and build the momentum needed to embed data-driven practices into city governance.</w:t>
      </w:r>
    </w:p>
    <w:p>
      <w:pPr>
        <w:spacing w:before="220" w:after="80"/>
      </w:pPr>
      <w:r>
        <w:rPr>
          <w:rFonts w:ascii="Arial" w:cs="Arial" w:eastAsia="Arial" w:hAnsi="Arial"/>
          <w:b/>
          <w:bCs/>
          <w:color w:val="1F5C8B"/>
          <w:sz w:val="26"/>
          <w:szCs w:val="26"/>
        </w:rPr>
        <w:t xml:space="preserve">3.  Standing Office Hours</w:t>
      </w:r>
    </w:p>
    <w:p>
      <w:pPr>
        <w:spacing w:before="60" w:after="80"/>
      </w:pPr>
      <w:r>
        <w:rPr>
          <w:rFonts w:ascii="Arial" w:cs="Arial" w:eastAsia="Arial" w:hAnsi="Arial"/>
          <w:color w:val="444444"/>
          <w:sz w:val="22"/>
          <w:szCs w:val="22"/>
        </w:rPr>
        <w:t xml:space="preserve">The City Data Advisors, Programme Director, and the Urban Governance Research Lab are available on a demand-driven basis to provide additional support for cities that need deeper technical assistance on specific challenges.</w:t>
      </w:r>
    </w:p>
    <w:p>
      <w:pPr>
        <w:spacing w:before="220" w:after="80"/>
      </w:pPr>
      <w:r>
        <w:rPr>
          <w:rFonts w:ascii="Arial" w:cs="Arial" w:eastAsia="Arial" w:hAnsi="Arial"/>
          <w:b/>
          <w:bCs/>
          <w:color w:val="1F5C8B"/>
          <w:sz w:val="26"/>
          <w:szCs w:val="26"/>
        </w:rPr>
        <w:t xml:space="preserve">4.  Self-Guided Resources &amp; Best Practices</w:t>
      </w:r>
    </w:p>
    <w:p>
      <w:pPr>
        <w:spacing w:before="60" w:after="100"/>
      </w:pPr>
      <w:r>
        <w:rPr>
          <w:rFonts w:ascii="Arial" w:cs="Arial" w:eastAsia="Arial" w:hAnsi="Arial"/>
          <w:color w:val="444444"/>
          <w:sz w:val="22"/>
          <w:szCs w:val="22"/>
        </w:rPr>
        <w:t xml:space="preserve">Cities have access to a curated library of GOVEx online courses, toolkits, templates, and best practice guides, enabling team members to deepen their skills at their own pace beyond the structured coaching sessions.</w:t>
      </w:r>
    </w:p>
    <w:p>
      <w:pPr>
        <w:spacing w:before="180"/>
      </w:pPr>
    </w:p>
    <w:p>
      <w:pPr>
        <w:spacing w:before="200" w:after="60"/>
      </w:pPr>
      <w:r>
        <w:rPr>
          <w:rFonts w:ascii="Arial" w:cs="Arial" w:eastAsia="Arial" w:hAnsi="Arial"/>
          <w:b/>
          <w:bCs/>
          <w:caps/>
          <w:color w:val="FFFFFF"/>
          <w:sz w:val="16"/>
          <w:szCs w:val="16"/>
          <w:shd w:fill="1F5C8B" w:val="clear"/>
        </w:rPr>
        <w:t xml:space="preserve">  Learning Journey  </w:t>
      </w:r>
    </w:p>
    <w:p>
      <w:pPr>
        <w:spacing w:before="280" w:after="120"/>
      </w:pPr>
      <w:r>
        <w:rPr>
          <w:rFonts w:ascii="Arial" w:cs="Arial" w:eastAsia="Arial" w:hAnsi="Arial"/>
          <w:b/>
          <w:bCs/>
          <w:color w:val="1A2E4A"/>
          <w:sz w:val="36"/>
          <w:szCs w:val="36"/>
        </w:rPr>
        <w:t xml:space="preserve">The Engagement Learning Journey</w:t>
      </w:r>
    </w:p>
    <w:p>
      <w:pPr>
        <w:pBdr>
          <w:bottom w:val="single" w:color="F4A300" w:sz="4"/>
        </w:pBdr>
        <w:spacing w:before="60" w:after="60"/>
      </w:pPr>
    </w:p>
    <w:p>
      <w:pPr>
        <w:spacing w:before="100" w:after="120"/>
      </w:pPr>
      <w:r>
        <w:rPr>
          <w:rFonts w:ascii="Arial" w:cs="Arial" w:eastAsia="Arial" w:hAnsi="Arial"/>
          <w:color w:val="444444"/>
          <w:sz w:val="22"/>
          <w:szCs w:val="22"/>
        </w:rPr>
        <w:t xml:space="preserve">The ADP's curriculum is structured around three core learning modules, each aligned to a key phase of the programme. Collectively, they guide city teams from foundational data concepts through to launching and sustaining a fully operational performance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2E4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Module 1</w:t>
            </w:r>
          </w:p>
        </w:tc>
        <w:tc>
          <w:tcPr>
            <w:tcW w:type="dxa" w:w="3120"/>
            <w:tcBorders>
              <w:top w:val="single" w:color="D0D7E3" w:sz="1"/>
              <w:left w:val="single" w:color="D0D7E3" w:sz="1"/>
              <w:bottom w:val="single" w:color="D0D7E3" w:sz="1"/>
              <w:right w:val="single" w:color="D0D7E3" w:sz="1"/>
            </w:tcBorders>
            <w:shd w:fill="1A2E4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Module 2</w:t>
            </w:r>
          </w:p>
        </w:tc>
        <w:tc>
          <w:tcPr>
            <w:tcW w:type="dxa" w:w="3120"/>
            <w:tcBorders>
              <w:top w:val="single" w:color="D0D7E3" w:sz="1"/>
              <w:left w:val="single" w:color="D0D7E3" w:sz="1"/>
              <w:bottom w:val="single" w:color="D0D7E3" w:sz="1"/>
              <w:right w:val="single" w:color="D0D7E3" w:sz="1"/>
            </w:tcBorders>
            <w:shd w:fill="1A2E4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Module 3</w:t>
            </w:r>
          </w:p>
        </w:tc>
      </w:tr>
      <w:tr>
        <w:tc>
          <w:tcPr>
            <w:tcW w:type="dxa" w:w="312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tcPr>
          <w:p>
            <w:r>
              <w:rPr>
                <w:rFonts w:ascii="Arial" w:cs="Arial" w:eastAsia="Arial" w:hAnsi="Arial"/>
                <w:b/>
                <w:bCs/>
                <w:color w:val="1A2E4A"/>
                <w:sz w:val="21"/>
                <w:szCs w:val="21"/>
              </w:rPr>
              <w:t xml:space="preserve">Getting Started with Data Management</w:t>
            </w:r>
          </w:p>
          <w:p>
            <w:pPr>
              <w:spacing w:before="40"/>
            </w:pPr>
            <w:r>
              <w:rPr>
                <w:rFonts w:ascii="Arial" w:cs="Arial" w:eastAsia="Arial" w:hAnsi="Arial"/>
                <w:i/>
                <w:iCs/>
                <w:color w:val="1A2E4A"/>
                <w:sz w:val="19"/>
                <w:szCs w:val="19"/>
              </w:rPr>
              <w:t xml:space="preserve">June</w:t>
            </w:r>
          </w:p>
        </w:tc>
        <w:tc>
          <w:tcPr>
            <w:tcW w:type="dxa" w:w="312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tcPr>
          <w:p>
            <w:r>
              <w:rPr>
                <w:rFonts w:ascii="Arial" w:cs="Arial" w:eastAsia="Arial" w:hAnsi="Arial"/>
                <w:b/>
                <w:bCs/>
                <w:color w:val="1A2E4A"/>
                <w:sz w:val="21"/>
                <w:szCs w:val="21"/>
              </w:rPr>
              <w:t xml:space="preserve">Designing an Effective Data Reporting Tool</w:t>
            </w:r>
          </w:p>
          <w:p>
            <w:pPr>
              <w:spacing w:before="40"/>
            </w:pPr>
            <w:r>
              <w:rPr>
                <w:rFonts w:ascii="Arial" w:cs="Arial" w:eastAsia="Arial" w:hAnsi="Arial"/>
                <w:i/>
                <w:iCs/>
                <w:color w:val="1A2E4A"/>
                <w:sz w:val="19"/>
                <w:szCs w:val="19"/>
              </w:rPr>
              <w:t xml:space="preserve">August</w:t>
            </w:r>
          </w:p>
        </w:tc>
        <w:tc>
          <w:tcPr>
            <w:tcW w:type="dxa" w:w="3120"/>
            <w:tcBorders>
              <w:top w:val="single" w:color="D0D7E3" w:sz="1"/>
              <w:left w:val="single" w:color="D0D7E3" w:sz="1"/>
              <w:bottom w:val="single" w:color="D0D7E3" w:sz="1"/>
              <w:right w:val="single" w:color="D0D7E3" w:sz="1"/>
            </w:tcBorders>
            <w:shd w:fill="F4A300" w:val="clear"/>
            <w:tcMar>
              <w:top w:type="dxa" w:w="100"/>
              <w:left w:type="dxa" w:w="160"/>
              <w:bottom w:type="dxa" w:w="100"/>
              <w:right w:type="dxa" w:w="160"/>
            </w:tcMar>
          </w:tcPr>
          <w:p>
            <w:r>
              <w:rPr>
                <w:rFonts w:ascii="Arial" w:cs="Arial" w:eastAsia="Arial" w:hAnsi="Arial"/>
                <w:b/>
                <w:bCs/>
                <w:color w:val="1A2E4A"/>
                <w:sz w:val="21"/>
                <w:szCs w:val="21"/>
              </w:rPr>
              <w:t xml:space="preserve">Launching &amp; Sustaining a Performance Management Routine</w:t>
            </w:r>
          </w:p>
          <w:p>
            <w:pPr>
              <w:spacing w:before="40"/>
            </w:pPr>
            <w:r>
              <w:rPr>
                <w:rFonts w:ascii="Arial" w:cs="Arial" w:eastAsia="Arial" w:hAnsi="Arial"/>
                <w:i/>
                <w:iCs/>
                <w:color w:val="1A2E4A"/>
                <w:sz w:val="19"/>
                <w:szCs w:val="19"/>
              </w:rPr>
              <w:t xml:space="preserve">September</w:t>
            </w:r>
          </w:p>
        </w:tc>
      </w:tr>
      <w:tr>
        <w:tc>
          <w:tcPr>
            <w:tcW w:type="dxa" w:w="312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b/>
                <w:bCs/>
                <w:color w:val="1F5C8B"/>
                <w:sz w:val="19"/>
                <w:szCs w:val="19"/>
              </w:rPr>
              <w:t xml:space="preserve">Key Concepts</w:t>
            </w:r>
          </w:p>
          <w:p>
            <w:pPr>
              <w:spacing w:before="40"/>
            </w:pPr>
            <w:r>
              <w:rPr>
                <w:rFonts w:ascii="Arial" w:cs="Arial" w:eastAsia="Arial" w:hAnsi="Arial"/>
                <w:color w:val="444444"/>
                <w:sz w:val="20"/>
                <w:szCs w:val="20"/>
              </w:rPr>
              <w:t xml:space="preserve">Data Inventory  |  Availability of Data  |  Data Quality (methods)  |  Closing Data Gaps</w:t>
            </w:r>
          </w:p>
        </w:tc>
        <w:tc>
          <w:tcPr>
            <w:tcW w:type="dxa" w:w="312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b/>
                <w:bCs/>
                <w:color w:val="1F5C8B"/>
                <w:sz w:val="19"/>
                <w:szCs w:val="19"/>
              </w:rPr>
              <w:t xml:space="preserve">Key Concepts</w:t>
            </w:r>
          </w:p>
          <w:p>
            <w:pPr>
              <w:spacing w:before="40"/>
            </w:pPr>
            <w:r>
              <w:rPr>
                <w:rFonts w:ascii="Arial" w:cs="Arial" w:eastAsia="Arial" w:hAnsi="Arial"/>
                <w:color w:val="444444"/>
                <w:sz w:val="20"/>
                <w:szCs w:val="20"/>
              </w:rPr>
              <w:t xml:space="preserve">Data Reporting Tool  |  Developing Goals  |  Selecting Performance Metrics  |  Establishing Targets</w:t>
            </w:r>
          </w:p>
        </w:tc>
        <w:tc>
          <w:tcPr>
            <w:tcW w:type="dxa" w:w="312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b/>
                <w:bCs/>
                <w:color w:val="1F5C8B"/>
                <w:sz w:val="19"/>
                <w:szCs w:val="19"/>
              </w:rPr>
              <w:t xml:space="preserve">Key Concepts</w:t>
            </w:r>
          </w:p>
          <w:p>
            <w:pPr>
              <w:spacing w:before="40"/>
            </w:pPr>
            <w:r>
              <w:rPr>
                <w:rFonts w:ascii="Arial" w:cs="Arial" w:eastAsia="Arial" w:hAnsi="Arial"/>
                <w:color w:val="444444"/>
                <w:sz w:val="20"/>
                <w:szCs w:val="20"/>
              </w:rPr>
              <w:t xml:space="preserve">Performance Management Analytics  |  Communicating Progress  |  Internal &amp; External Stakeholder Reporting</w:t>
            </w:r>
          </w:p>
        </w:tc>
      </w:tr>
      <w:tr>
        <w:tc>
          <w:tcPr>
            <w:tcW w:type="dxa" w:w="3120"/>
            <w:tcBorders>
              <w:top w:val="single" w:color="D0D7E3" w:sz="1"/>
              <w:left w:val="single" w:color="D0D7E3" w:sz="1"/>
              <w:bottom w:val="single" w:color="D0D7E3" w:sz="1"/>
              <w:right w:val="single" w:color="D0D7E3" w:sz="1"/>
            </w:tcBorders>
            <w:shd w:fill="FFFFFF" w:val="clear"/>
            <w:tcMar>
              <w:top w:type="dxa" w:w="100"/>
              <w:left w:type="dxa" w:w="160"/>
              <w:bottom w:type="dxa" w:w="100"/>
              <w:right w:type="dxa" w:w="160"/>
            </w:tcMar>
          </w:tcPr>
          <w:p>
            <w:r>
              <w:rPr>
                <w:rFonts w:ascii="Arial" w:cs="Arial" w:eastAsia="Arial" w:hAnsi="Arial"/>
                <w:b/>
                <w:bCs/>
                <w:color w:val="1F5C8B"/>
                <w:sz w:val="19"/>
                <w:szCs w:val="19"/>
              </w:rPr>
              <w:t xml:space="preserve">Learning Outcomes</w:t>
            </w:r>
          </w:p>
          <w:p>
            <w:pPr>
              <w:spacing w:before="40"/>
            </w:pPr>
            <w:r>
              <w:rPr>
                <w:rFonts w:ascii="Arial" w:cs="Arial" w:eastAsia="Arial" w:hAnsi="Arial"/>
                <w:color w:val="444444"/>
                <w:sz w:val="20"/>
                <w:szCs w:val="20"/>
              </w:rPr>
              <w:t xml:space="preserve">Understand data management fundamentals; Recognize issues data management can address; Know foundational practices.</w:t>
            </w:r>
          </w:p>
        </w:tc>
        <w:tc>
          <w:tcPr>
            <w:tcW w:type="dxa" w:w="3120"/>
            <w:tcBorders>
              <w:top w:val="single" w:color="D0D7E3" w:sz="1"/>
              <w:left w:val="single" w:color="D0D7E3" w:sz="1"/>
              <w:bottom w:val="single" w:color="D0D7E3" w:sz="1"/>
              <w:right w:val="single" w:color="D0D7E3" w:sz="1"/>
            </w:tcBorders>
            <w:shd w:fill="FFFFFF" w:val="clear"/>
            <w:tcMar>
              <w:top w:type="dxa" w:w="100"/>
              <w:left w:type="dxa" w:w="160"/>
              <w:bottom w:type="dxa" w:w="100"/>
              <w:right w:type="dxa" w:w="160"/>
            </w:tcMar>
          </w:tcPr>
          <w:p>
            <w:r>
              <w:rPr>
                <w:rFonts w:ascii="Arial" w:cs="Arial" w:eastAsia="Arial" w:hAnsi="Arial"/>
                <w:b/>
                <w:bCs/>
                <w:color w:val="1F5C8B"/>
                <w:sz w:val="19"/>
                <w:szCs w:val="19"/>
              </w:rPr>
              <w:t xml:space="preserve">Learning Outcomes</w:t>
            </w:r>
          </w:p>
          <w:p>
            <w:pPr>
              <w:spacing w:before="40"/>
            </w:pPr>
            <w:r>
              <w:rPr>
                <w:rFonts w:ascii="Arial" w:cs="Arial" w:eastAsia="Arial" w:hAnsi="Arial"/>
                <w:color w:val="444444"/>
                <w:sz w:val="20"/>
                <w:szCs w:val="20"/>
              </w:rPr>
              <w:t xml:space="preserve">Understand effective data reporting; Identify the right metrics and targets; Establish a data reporting process.</w:t>
            </w:r>
          </w:p>
        </w:tc>
        <w:tc>
          <w:tcPr>
            <w:tcW w:type="dxa" w:w="3120"/>
            <w:tcBorders>
              <w:top w:val="single" w:color="D0D7E3" w:sz="1"/>
              <w:left w:val="single" w:color="D0D7E3" w:sz="1"/>
              <w:bottom w:val="single" w:color="D0D7E3" w:sz="1"/>
              <w:right w:val="single" w:color="D0D7E3" w:sz="1"/>
            </w:tcBorders>
            <w:shd w:fill="FFFFFF" w:val="clear"/>
            <w:tcMar>
              <w:top w:type="dxa" w:w="100"/>
              <w:left w:type="dxa" w:w="160"/>
              <w:bottom w:type="dxa" w:w="100"/>
              <w:right w:type="dxa" w:w="160"/>
            </w:tcMar>
          </w:tcPr>
          <w:p>
            <w:r>
              <w:rPr>
                <w:rFonts w:ascii="Arial" w:cs="Arial" w:eastAsia="Arial" w:hAnsi="Arial"/>
                <w:b/>
                <w:bCs/>
                <w:color w:val="1F5C8B"/>
                <w:sz w:val="19"/>
                <w:szCs w:val="19"/>
              </w:rPr>
              <w:t xml:space="preserve">Learning Outcomes</w:t>
            </w:r>
          </w:p>
          <w:p>
            <w:pPr>
              <w:spacing w:before="40"/>
            </w:pPr>
            <w:r>
              <w:rPr>
                <w:rFonts w:ascii="Arial" w:cs="Arial" w:eastAsia="Arial" w:hAnsi="Arial"/>
                <w:color w:val="444444"/>
                <w:sz w:val="20"/>
                <w:szCs w:val="20"/>
              </w:rPr>
              <w:t xml:space="preserve">Identify components of successful performance management; Recognize tools to sustain it; Communicate progress using data.</w:t>
            </w:r>
          </w:p>
        </w:tc>
      </w:tr>
    </w:tbl>
    <w:p>
      <w:pPr>
        <w:spacing w:before="180"/>
      </w:pPr>
    </w:p>
    <w:p>
      <w:pPr>
        <w:spacing w:before="200" w:after="60"/>
      </w:pPr>
      <w:r>
        <w:rPr>
          <w:rFonts w:ascii="Arial" w:cs="Arial" w:eastAsia="Arial" w:hAnsi="Arial"/>
          <w:b/>
          <w:bCs/>
          <w:caps/>
          <w:color w:val="FFFFFF"/>
          <w:sz w:val="16"/>
          <w:szCs w:val="16"/>
          <w:shd w:fill="1F5C8B" w:val="clear"/>
        </w:rPr>
        <w:t xml:space="preserve">  City Data Advisors  </w:t>
      </w:r>
    </w:p>
    <w:p>
      <w:pPr>
        <w:spacing w:before="280" w:after="120"/>
      </w:pPr>
      <w:r>
        <w:rPr>
          <w:rFonts w:ascii="Arial" w:cs="Arial" w:eastAsia="Arial" w:hAnsi="Arial"/>
          <w:b/>
          <w:bCs/>
          <w:color w:val="1A2E4A"/>
          <w:sz w:val="36"/>
          <w:szCs w:val="36"/>
        </w:rPr>
        <w:t xml:space="preserve">Working with Your City Data Advisor</w:t>
      </w:r>
    </w:p>
    <w:p>
      <w:pPr>
        <w:pBdr>
          <w:bottom w:val="single" w:color="F4A300" w:sz="4"/>
        </w:pBdr>
        <w:spacing w:before="60" w:after="60"/>
      </w:pPr>
    </w:p>
    <w:p>
      <w:pPr>
        <w:spacing w:before="100" w:after="120"/>
      </w:pPr>
      <w:r>
        <w:rPr>
          <w:rFonts w:ascii="Arial" w:cs="Arial" w:eastAsia="Arial" w:hAnsi="Arial"/>
          <w:color w:val="444444"/>
          <w:sz w:val="22"/>
          <w:szCs w:val="22"/>
        </w:rPr>
        <w:t xml:space="preserve">Each participating city is assigned a dedicated City Data Advisor — an experienced practitioner with deep knowledge of data management, performance analytics, and local government contexts across Africa. Advisors serve as trusted partners throughout the engagement, bringing a blend of technical expertise and contextual sensitivity to every interaction.</w:t>
      </w:r>
    </w:p>
    <w:p>
      <w:pPr>
        <w:spacing w:before="220" w:after="80"/>
      </w:pPr>
      <w:r>
        <w:rPr>
          <w:rFonts w:ascii="Arial" w:cs="Arial" w:eastAsia="Arial" w:hAnsi="Arial"/>
          <w:b/>
          <w:bCs/>
          <w:color w:val="1F5C8B"/>
          <w:sz w:val="26"/>
          <w:szCs w:val="26"/>
        </w:rPr>
        <w:t xml:space="preserve">The Advisor's Role</w:t>
      </w:r>
    </w:p>
    <w:p>
      <w:pPr>
        <w:spacing w:before="60" w:after="80"/>
      </w:pPr>
      <w:r>
        <w:rPr>
          <w:rFonts w:ascii="Arial" w:cs="Arial" w:eastAsia="Arial" w:hAnsi="Arial"/>
          <w:color w:val="444444"/>
          <w:sz w:val="22"/>
          <w:szCs w:val="22"/>
        </w:rPr>
        <w:t xml:space="preserve">City Data Advisors wear multiple hats throughout the programme:</w:t>
      </w:r>
    </w:p>
    <w:p>
      <w:pPr>
        <w:pStyle w:val="ListParagraph"/>
        <w:numPr>
          <w:ilvl w:val="0"/>
          <w:numId w:val="2"/>
        </w:numPr>
        <w:spacing w:before="40" w:after="40"/>
      </w:pPr>
      <w:r>
        <w:rPr>
          <w:rFonts w:ascii="Arial" w:cs="Arial" w:eastAsia="Arial" w:hAnsi="Arial"/>
          <w:b w:val="false"/>
          <w:bCs w:val="false"/>
          <w:color w:val="444444"/>
          <w:sz w:val="22"/>
          <w:szCs w:val="22"/>
        </w:rPr>
        <w:t xml:space="preserve">Convener &amp; Facilitator — structuring workshops and coaching sessions to drive focused outcomes</w:t>
      </w:r>
    </w:p>
    <w:p>
      <w:pPr>
        <w:pStyle w:val="ListParagraph"/>
        <w:numPr>
          <w:ilvl w:val="0"/>
          <w:numId w:val="2"/>
        </w:numPr>
        <w:spacing w:before="40" w:after="40"/>
      </w:pPr>
      <w:r>
        <w:rPr>
          <w:rFonts w:ascii="Arial" w:cs="Arial" w:eastAsia="Arial" w:hAnsi="Arial"/>
          <w:b w:val="false"/>
          <w:bCs w:val="false"/>
          <w:color w:val="444444"/>
          <w:sz w:val="22"/>
          <w:szCs w:val="22"/>
        </w:rPr>
        <w:t xml:space="preserve">Confidante &amp; Sounding Board — providing a safe space for city teams to work through challenges</w:t>
      </w:r>
    </w:p>
    <w:p>
      <w:pPr>
        <w:pStyle w:val="ListParagraph"/>
        <w:numPr>
          <w:ilvl w:val="0"/>
          <w:numId w:val="2"/>
        </w:numPr>
        <w:spacing w:before="40" w:after="40"/>
      </w:pPr>
      <w:r>
        <w:rPr>
          <w:rFonts w:ascii="Arial" w:cs="Arial" w:eastAsia="Arial" w:hAnsi="Arial"/>
          <w:b w:val="false"/>
          <w:bCs w:val="false"/>
          <w:color w:val="444444"/>
          <w:sz w:val="22"/>
          <w:szCs w:val="22"/>
        </w:rPr>
        <w:t xml:space="preserve">Integrator — connecting data practices to the broader performance management agenda of the city</w:t>
      </w:r>
    </w:p>
    <w:p>
      <w:pPr>
        <w:pStyle w:val="ListParagraph"/>
        <w:numPr>
          <w:ilvl w:val="0"/>
          <w:numId w:val="2"/>
        </w:numPr>
        <w:spacing w:before="40" w:after="40"/>
      </w:pPr>
      <w:r>
        <w:rPr>
          <w:rFonts w:ascii="Arial" w:cs="Arial" w:eastAsia="Arial" w:hAnsi="Arial"/>
          <w:b w:val="false"/>
          <w:bCs w:val="false"/>
          <w:color w:val="444444"/>
          <w:sz w:val="22"/>
          <w:szCs w:val="22"/>
        </w:rPr>
        <w:t xml:space="preserve">Flexible Subject-Matter Expert — drawing on technical depth while remaining responsive to city needs</w:t>
      </w:r>
    </w:p>
    <w:p>
      <w:pPr>
        <w:pStyle w:val="ListParagraph"/>
        <w:numPr>
          <w:ilvl w:val="0"/>
          <w:numId w:val="2"/>
        </w:numPr>
        <w:spacing w:before="40" w:after="40"/>
      </w:pPr>
      <w:r>
        <w:rPr>
          <w:rFonts w:ascii="Arial" w:cs="Arial" w:eastAsia="Arial" w:hAnsi="Arial"/>
          <w:b w:val="false"/>
          <w:bCs w:val="false"/>
          <w:color w:val="444444"/>
          <w:sz w:val="22"/>
          <w:szCs w:val="22"/>
        </w:rPr>
        <w:t xml:space="preserve">Accountability Partner — keeping city teams on track with deliverables and milestones</w:t>
      </w:r>
    </w:p>
    <w:p>
      <w:pPr>
        <w:spacing w:before="120"/>
      </w:pPr>
    </w:p>
    <w:p>
      <w:pPr>
        <w:spacing w:before="220" w:after="80"/>
      </w:pPr>
      <w:r>
        <w:rPr>
          <w:rFonts w:ascii="Arial" w:cs="Arial" w:eastAsia="Arial" w:hAnsi="Arial"/>
          <w:b/>
          <w:bCs/>
          <w:color w:val="1F5C8B"/>
          <w:sz w:val="26"/>
          <w:szCs w:val="26"/>
        </w:rPr>
        <w:t xml:space="preserve">Technical Assistance Delivered</w:t>
      </w:r>
    </w:p>
    <w:p>
      <w:pPr>
        <w:spacing w:before="60" w:after="80"/>
      </w:pPr>
      <w:r>
        <w:rPr>
          <w:rFonts w:ascii="Arial" w:cs="Arial" w:eastAsia="Arial" w:hAnsi="Arial"/>
          <w:color w:val="444444"/>
          <w:sz w:val="22"/>
          <w:szCs w:val="22"/>
        </w:rPr>
        <w:t xml:space="preserve">Beyond coaching, City Data Advisors provide hands-on technical support to:</w:t>
      </w:r>
    </w:p>
    <w:p>
      <w:pPr>
        <w:pStyle w:val="ListParagraph"/>
        <w:numPr>
          <w:ilvl w:val="0"/>
          <w:numId w:val="2"/>
        </w:numPr>
        <w:spacing w:before="40" w:after="40"/>
      </w:pPr>
      <w:r>
        <w:rPr>
          <w:rFonts w:ascii="Arial" w:cs="Arial" w:eastAsia="Arial" w:hAnsi="Arial"/>
          <w:b w:val="false"/>
          <w:bCs w:val="false"/>
          <w:color w:val="444444"/>
          <w:sz w:val="22"/>
          <w:szCs w:val="22"/>
        </w:rPr>
        <w:t xml:space="preserve">Co-develop a tailored data inventory template aligned to the Mayor's legacy goal</w:t>
      </w:r>
    </w:p>
    <w:p>
      <w:pPr>
        <w:pStyle w:val="ListParagraph"/>
        <w:numPr>
          <w:ilvl w:val="0"/>
          <w:numId w:val="2"/>
        </w:numPr>
        <w:spacing w:before="40" w:after="40"/>
      </w:pPr>
      <w:r>
        <w:rPr>
          <w:rFonts w:ascii="Arial" w:cs="Arial" w:eastAsia="Arial" w:hAnsi="Arial"/>
          <w:b w:val="false"/>
          <w:bCs w:val="false"/>
          <w:color w:val="444444"/>
          <w:sz w:val="22"/>
          <w:szCs w:val="22"/>
        </w:rPr>
        <w:t xml:space="preserve">Create a practical, city-specific data reporting tool (performance dashboard)</w:t>
      </w:r>
    </w:p>
    <w:p>
      <w:pPr>
        <w:pStyle w:val="ListParagraph"/>
        <w:numPr>
          <w:ilvl w:val="0"/>
          <w:numId w:val="2"/>
        </w:numPr>
        <w:spacing w:before="40" w:after="40"/>
      </w:pPr>
      <w:r>
        <w:rPr>
          <w:rFonts w:ascii="Arial" w:cs="Arial" w:eastAsia="Arial" w:hAnsi="Arial"/>
          <w:b w:val="false"/>
          <w:bCs w:val="false"/>
          <w:color w:val="444444"/>
          <w:sz w:val="22"/>
          <w:szCs w:val="22"/>
        </w:rPr>
        <w:t xml:space="preserve">Guide the development of a documented performance management framework</w:t>
      </w:r>
    </w:p>
    <w:p>
      <w:pPr>
        <w:pStyle w:val="ListParagraph"/>
        <w:numPr>
          <w:ilvl w:val="0"/>
          <w:numId w:val="2"/>
        </w:numPr>
        <w:spacing w:before="40" w:after="40"/>
      </w:pPr>
      <w:r>
        <w:rPr>
          <w:rFonts w:ascii="Arial" w:cs="Arial" w:eastAsia="Arial" w:hAnsi="Arial"/>
          <w:b w:val="false"/>
          <w:bCs w:val="false"/>
          <w:color w:val="444444"/>
          <w:sz w:val="22"/>
          <w:szCs w:val="22"/>
        </w:rPr>
        <w:t xml:space="preserve">Support the launch and embedding of the city's performance management routine</w:t>
      </w:r>
    </w:p>
    <w:p>
      <w:pPr>
        <w:spacing w:before="180"/>
      </w:pPr>
    </w:p>
    <w:p>
      <w:pPr>
        <w:spacing w:before="200" w:after="60"/>
      </w:pPr>
      <w:r>
        <w:rPr>
          <w:rFonts w:ascii="Arial" w:cs="Arial" w:eastAsia="Arial" w:hAnsi="Arial"/>
          <w:b/>
          <w:bCs/>
          <w:caps/>
          <w:color w:val="FFFFFF"/>
          <w:sz w:val="16"/>
          <w:szCs w:val="16"/>
          <w:shd w:fill="1F5C8B" w:val="clear"/>
        </w:rPr>
        <w:t xml:space="preserve">  Partnership  </w:t>
      </w:r>
    </w:p>
    <w:p>
      <w:pPr>
        <w:spacing w:before="280" w:after="120"/>
      </w:pPr>
      <w:r>
        <w:rPr>
          <w:rFonts w:ascii="Arial" w:cs="Arial" w:eastAsia="Arial" w:hAnsi="Arial"/>
          <w:b/>
          <w:bCs/>
          <w:color w:val="1A2E4A"/>
          <w:sz w:val="36"/>
          <w:szCs w:val="36"/>
        </w:rPr>
        <w:t xml:space="preserve">What We Ask of City Teams</w:t>
      </w:r>
    </w:p>
    <w:p>
      <w:pPr>
        <w:pBdr>
          <w:bottom w:val="single" w:color="F4A300" w:sz="4"/>
        </w:pBdr>
        <w:spacing w:before="60" w:after="60"/>
      </w:pPr>
    </w:p>
    <w:p>
      <w:pPr>
        <w:spacing w:before="100" w:after="120"/>
      </w:pPr>
      <w:r>
        <w:rPr>
          <w:rFonts w:ascii="Arial" w:cs="Arial" w:eastAsia="Arial" w:hAnsi="Arial"/>
          <w:color w:val="444444"/>
          <w:sz w:val="22"/>
          <w:szCs w:val="22"/>
        </w:rPr>
        <w:t xml:space="preserve">The ADP delivers the greatest impact when city leadership and project teams are fully engaged. The programme is designed as a genuine partnership — the ADP brings expertise, tools, and frameworks; city teams bring context, commitment, and the will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0D7E3" w:sz="1"/>
              <w:left w:val="single" w:color="D0D7E3" w:sz="1"/>
              <w:bottom w:val="single" w:color="D0D7E3" w:sz="1"/>
              <w:right w:val="single" w:color="D0D7E3" w:sz="1"/>
            </w:tcBorders>
            <w:shd w:fill="F4A300" w:val="clear"/>
            <w:tcMar>
              <w:top w:type="dxa" w:w="100"/>
              <w:left w:type="dxa" w:w="100"/>
              <w:bottom w:type="dxa" w:w="100"/>
              <w:right w:type="dxa" w:w="100"/>
            </w:tcMar>
            <w:vAlign w:val="center"/>
          </w:tcPr>
          <w:p>
            <w:pPr>
              <w:jc w:val="center"/>
            </w:pPr>
            <w:r>
              <w:rPr>
                <w:rFonts w:ascii="Arial" w:cs="Arial" w:eastAsia="Arial" w:hAnsi="Arial"/>
                <w:b/>
                <w:bCs/>
                <w:color w:val="1A2E4A"/>
                <w:sz w:val="22"/>
                <w:szCs w:val="22"/>
              </w:rPr>
              <w:t xml:space="preserve">1</w:t>
            </w:r>
          </w:p>
        </w:tc>
        <w:tc>
          <w:tcPr>
            <w:tcW w:type="dxa" w:w="87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Attend all engagement meetings and weekly coaching calls, establishing a recurring schedule with the City Data Advisor.</w:t>
            </w:r>
          </w:p>
        </w:tc>
      </w:tr>
      <w:tr>
        <w:tc>
          <w:tcPr>
            <w:tcW w:type="dxa" w:w="600"/>
            <w:tcBorders>
              <w:top w:val="single" w:color="D0D7E3" w:sz="1"/>
              <w:left w:val="single" w:color="D0D7E3" w:sz="1"/>
              <w:bottom w:val="single" w:color="D0D7E3" w:sz="1"/>
              <w:right w:val="single" w:color="D0D7E3" w:sz="1"/>
            </w:tcBorders>
            <w:shd w:fill="F4A300" w:val="clear"/>
            <w:tcMar>
              <w:top w:type="dxa" w:w="100"/>
              <w:left w:type="dxa" w:w="100"/>
              <w:bottom w:type="dxa" w:w="100"/>
              <w:right w:type="dxa" w:w="100"/>
            </w:tcMar>
            <w:vAlign w:val="center"/>
          </w:tcPr>
          <w:p>
            <w:pPr>
              <w:jc w:val="center"/>
            </w:pPr>
            <w:r>
              <w:rPr>
                <w:rFonts w:ascii="Arial" w:cs="Arial" w:eastAsia="Arial" w:hAnsi="Arial"/>
                <w:b/>
                <w:bCs/>
                <w:color w:val="1A2E4A"/>
                <w:sz w:val="22"/>
                <w:szCs w:val="22"/>
              </w:rPr>
              <w:t xml:space="preserve">2</w:t>
            </w:r>
          </w:p>
        </w:tc>
        <w:tc>
          <w:tcPr>
            <w:tcW w:type="dxa" w:w="87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Meet internally as a team to discuss key concepts, make decisions, prepare for on-site visits, and complete deliverables.</w:t>
            </w:r>
          </w:p>
        </w:tc>
      </w:tr>
      <w:tr>
        <w:tc>
          <w:tcPr>
            <w:tcW w:type="dxa" w:w="600"/>
            <w:tcBorders>
              <w:top w:val="single" w:color="D0D7E3" w:sz="1"/>
              <w:left w:val="single" w:color="D0D7E3" w:sz="1"/>
              <w:bottom w:val="single" w:color="D0D7E3" w:sz="1"/>
              <w:right w:val="single" w:color="D0D7E3" w:sz="1"/>
            </w:tcBorders>
            <w:shd w:fill="F4A300" w:val="clear"/>
            <w:tcMar>
              <w:top w:type="dxa" w:w="100"/>
              <w:left w:type="dxa" w:w="100"/>
              <w:bottom w:type="dxa" w:w="100"/>
              <w:right w:type="dxa" w:w="100"/>
            </w:tcMar>
            <w:vAlign w:val="center"/>
          </w:tcPr>
          <w:p>
            <w:pPr>
              <w:jc w:val="center"/>
            </w:pPr>
            <w:r>
              <w:rPr>
                <w:rFonts w:ascii="Arial" w:cs="Arial" w:eastAsia="Arial" w:hAnsi="Arial"/>
                <w:b/>
                <w:bCs/>
                <w:color w:val="1A2E4A"/>
                <w:sz w:val="22"/>
                <w:szCs w:val="22"/>
              </w:rPr>
              <w:t xml:space="preserve">3</w:t>
            </w:r>
          </w:p>
        </w:tc>
        <w:tc>
          <w:tcPr>
            <w:tcW w:type="dxa" w:w="87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Engage actively with the City Data Advisor and come prepared with questions, updates, and relevant data.</w:t>
            </w:r>
          </w:p>
        </w:tc>
      </w:tr>
      <w:tr>
        <w:tc>
          <w:tcPr>
            <w:tcW w:type="dxa" w:w="600"/>
            <w:tcBorders>
              <w:top w:val="single" w:color="D0D7E3" w:sz="1"/>
              <w:left w:val="single" w:color="D0D7E3" w:sz="1"/>
              <w:bottom w:val="single" w:color="D0D7E3" w:sz="1"/>
              <w:right w:val="single" w:color="D0D7E3" w:sz="1"/>
            </w:tcBorders>
            <w:shd w:fill="F4A300" w:val="clear"/>
            <w:tcMar>
              <w:top w:type="dxa" w:w="100"/>
              <w:left w:type="dxa" w:w="100"/>
              <w:bottom w:type="dxa" w:w="100"/>
              <w:right w:type="dxa" w:w="100"/>
            </w:tcMar>
            <w:vAlign w:val="center"/>
          </w:tcPr>
          <w:p>
            <w:pPr>
              <w:jc w:val="center"/>
            </w:pPr>
            <w:r>
              <w:rPr>
                <w:rFonts w:ascii="Arial" w:cs="Arial" w:eastAsia="Arial" w:hAnsi="Arial"/>
                <w:b/>
                <w:bCs/>
                <w:color w:val="1A2E4A"/>
                <w:sz w:val="22"/>
                <w:szCs w:val="22"/>
              </w:rPr>
              <w:t xml:space="preserve">4</w:t>
            </w:r>
          </w:p>
        </w:tc>
        <w:tc>
          <w:tcPr>
            <w:tcW w:type="dxa" w:w="8760"/>
            <w:tcBorders>
              <w:top w:val="single" w:color="D0D7E3" w:sz="1"/>
              <w:left w:val="single" w:color="D0D7E3" w:sz="1"/>
              <w:bottom w:val="single" w:color="D0D7E3" w:sz="1"/>
              <w:right w:val="single" w:color="D0D7E3" w:sz="1"/>
            </w:tcBorders>
            <w:shd w:fill="F5F7FA" w:val="clear"/>
            <w:tcMar>
              <w:top w:type="dxa" w:w="100"/>
              <w:left w:type="dxa" w:w="160"/>
              <w:bottom w:type="dxa" w:w="100"/>
              <w:right w:type="dxa" w:w="160"/>
            </w:tcMar>
          </w:tcPr>
          <w:p>
            <w:r>
              <w:rPr>
                <w:rFonts w:ascii="Arial" w:cs="Arial" w:eastAsia="Arial" w:hAnsi="Arial"/>
                <w:color w:val="444444"/>
                <w:sz w:val="21"/>
                <w:szCs w:val="21"/>
              </w:rPr>
              <w:t xml:space="preserve">Complete all programme deliverables, including the data inventory, data reporting tool, and launching the first performance management meeting.</w:t>
            </w:r>
          </w:p>
        </w:tc>
      </w:tr>
    </w:tbl>
    <w:p>
      <w:pPr>
        <w:spacing w:before="200"/>
      </w:pPr>
    </w:p>
    <w:p>
      <w:pPr>
        <w:spacing w:before="200" w:after="60"/>
      </w:pPr>
      <w:r>
        <w:rPr>
          <w:rFonts w:ascii="Arial" w:cs="Arial" w:eastAsia="Arial" w:hAnsi="Arial"/>
          <w:b/>
          <w:bCs/>
          <w:caps/>
          <w:color w:val="FFFFFF"/>
          <w:sz w:val="16"/>
          <w:szCs w:val="16"/>
          <w:shd w:fill="1F5C8B" w:val="clear"/>
        </w:rPr>
        <w:t xml:space="preserve">  2025 Cohort  </w:t>
      </w:r>
    </w:p>
    <w:p>
      <w:pPr>
        <w:spacing w:before="280" w:after="120"/>
      </w:pPr>
      <w:r>
        <w:rPr>
          <w:rFonts w:ascii="Arial" w:cs="Arial" w:eastAsia="Arial" w:hAnsi="Arial"/>
          <w:b/>
          <w:bCs/>
          <w:color w:val="1A2E4A"/>
          <w:sz w:val="36"/>
          <w:szCs w:val="36"/>
        </w:rPr>
        <w:t xml:space="preserve">Our Cities &amp; Their Legacy Goals</w:t>
      </w:r>
    </w:p>
    <w:p>
      <w:pPr>
        <w:pBdr>
          <w:bottom w:val="single" w:color="F4A300" w:sz="4"/>
        </w:pBdr>
        <w:spacing w:before="60" w:after="60"/>
      </w:pPr>
    </w:p>
    <w:p>
      <w:pPr>
        <w:spacing w:before="100" w:after="100"/>
      </w:pPr>
      <w:r>
        <w:rPr>
          <w:rFonts w:ascii="Arial" w:cs="Arial" w:eastAsia="Arial" w:hAnsi="Arial"/>
          <w:color w:val="444444"/>
          <w:sz w:val="22"/>
          <w:szCs w:val="22"/>
        </w:rPr>
        <w:t xml:space="preserve">The 2025 ADP cohort brings together cities from across Africa, each led by a Mayor with a bold vision for their community. Legacy goals in this cohort span four key thematic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Service Delivery (47% of cohort)</w:t>
            </w:r>
          </w:p>
          <w:p>
            <w:r>
              <w:rPr>
                <w:rFonts w:ascii="Arial" w:cs="Arial" w:eastAsia="Arial" w:hAnsi="Arial"/>
                <w:color w:val="444444"/>
                <w:sz w:val="21"/>
                <w:szCs w:val="21"/>
              </w:rPr>
              <w:t xml:space="preserve">Sanitation, housing, water, cleaning &amp; greening, solid waste management, and urban development.</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Urban Infrastructure</w:t>
            </w:r>
          </w:p>
          <w:p>
            <w:r>
              <w:rPr>
                <w:rFonts w:ascii="Arial" w:cs="Arial" w:eastAsia="Arial" w:hAnsi="Arial"/>
                <w:color w:val="444444"/>
                <w:sz w:val="21"/>
                <w:szCs w:val="21"/>
              </w:rPr>
              <w:t xml:space="preserve">Solar lighting, sewer systems, renewable energy, road safety, and storm water management.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Youth Opportunities</w:t>
            </w:r>
          </w:p>
          <w:p>
            <w:r>
              <w:rPr>
                <w:rFonts w:ascii="Arial" w:cs="Arial" w:eastAsia="Arial" w:hAnsi="Arial"/>
                <w:color w:val="444444"/>
                <w:sz w:val="21"/>
                <w:szCs w:val="21"/>
              </w:rPr>
              <w:t xml:space="preserve">Programmes and initiatives designed to create economic and social pathways for young people in cities.</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D0D7E3" w:sz="1"/>
              <w:left w:val="single" w:color="D0D7E3" w:sz="1"/>
              <w:bottom w:val="single" w:color="D0D7E3" w:sz="1"/>
              <w:right w:val="single" w:color="D0D7E3" w:sz="1"/>
            </w:tcBorders>
            <w:shd w:fill="F5F7FA" w:val="clear"/>
            <w:tcMar>
              <w:top w:type="dxa" w:w="140"/>
              <w:left w:type="dxa" w:w="180"/>
              <w:bottom w:type="dxa" w:w="140"/>
              <w:right w:type="dxa" w:w="180"/>
            </w:tcMar>
          </w:tcPr>
          <w:p>
            <w:pPr>
              <w:spacing w:after="60"/>
            </w:pPr>
            <w:r>
              <w:rPr>
                <w:rFonts w:ascii="Arial" w:cs="Arial" w:eastAsia="Arial" w:hAnsi="Arial"/>
                <w:b/>
                <w:bCs/>
                <w:color w:val="1F5C8B"/>
                <w:sz w:val="22"/>
                <w:szCs w:val="22"/>
              </w:rPr>
              <w:t xml:space="preserve">Civic Engagement</w:t>
            </w:r>
          </w:p>
          <w:p>
            <w:r>
              <w:rPr>
                <w:rFonts w:ascii="Arial" w:cs="Arial" w:eastAsia="Arial" w:hAnsi="Arial"/>
                <w:color w:val="444444"/>
                <w:sz w:val="21"/>
                <w:szCs w:val="21"/>
              </w:rPr>
              <w:t xml:space="preserve">Strengthening the relationship between city government and its citizens through participation and accountability mechanisms.</w:t>
            </w:r>
          </w:p>
        </w:tc>
      </w:tr>
    </w:tbl>
    <w:p>
      <w:pPr>
        <w:spacing w:before="120"/>
      </w:pPr>
    </w:p>
    <w:p>
      <w:pPr>
        <w:spacing w:before="80" w:after="140"/>
      </w:pPr>
      <w:r>
        <w:rPr>
          <w:rFonts w:ascii="Arial" w:cs="Arial" w:eastAsia="Arial" w:hAnsi="Arial"/>
          <w:color w:val="444444"/>
          <w:sz w:val="22"/>
          <w:szCs w:val="22"/>
        </w:rPr>
        <w:t xml:space="preserve">Cities participating in the 2025 programme include: Harare, Chitungwiza, Johannesburg, Kasama, Banjul, Kanifing, Monrovia, Keur Massar, Shaggar (Addis), Wolaita Sodo, and Mombasa — representing some of the most dynamic urban centres on the continent.</w:t>
      </w:r>
    </w:p>
    <w:p>
      <w:pPr>
        <w:pBdr>
          <w:bottom w:val="single" w:color="F4A300" w:sz="4"/>
        </w:pBdr>
        <w:spacing w:before="60" w:after="6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1F8" w:val="clear"/>
            <w:tcMar>
              <w:top w:type="dxa" w:w="140"/>
              <w:left w:type="dxa" w:w="200"/>
              <w:bottom w:type="dxa" w:w="140"/>
              <w:right w:type="dxa" w:w="200"/>
            </w:tcMar>
          </w:tcPr>
          <w:p>
            <w:pPr>
              <w:spacing w:after="60"/>
            </w:pPr>
            <w:r>
              <w:rPr>
                <w:rFonts w:ascii="Arial" w:cs="Arial" w:eastAsia="Arial" w:hAnsi="Arial"/>
                <w:b/>
                <w:bCs/>
                <w:color w:val="1A2E4A"/>
                <w:sz w:val="24"/>
                <w:szCs w:val="24"/>
              </w:rPr>
              <w:t xml:space="preserve">A Commitment to Lasting Change</w:t>
            </w:r>
          </w:p>
          <w:p>
            <w:r>
              <w:rPr>
                <w:rFonts w:ascii="Arial" w:cs="Arial" w:eastAsia="Arial" w:hAnsi="Arial"/>
                <w:color w:val="444444"/>
                <w:sz w:val="21"/>
                <w:szCs w:val="21"/>
              </w:rPr>
              <w:t xml:space="preserve">The AMALI Data Programme is more than a technical assistance initiative. It is a commitment to building the institutions, habits, and capabilities that allow African cities to govern better — for their residents, for their regions, and for the future. Every data point collected, every dashboard built, and every performance meeting held is a step toward a more accountable, evidence-driven urban Africa.</w:t>
            </w:r>
          </w:p>
        </w:tc>
      </w:tr>
    </w:tbl>
    <w:p>
      <w:pPr>
        <w:spacing w:before="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pBdr>
      <w:tabs>
        <w:tab w:val="right" w:pos="9026"/>
      </w:tabs>
      <w:spacing w:before="120"/>
    </w:pPr>
    <w:r>
      <w:rPr>
        <w:rFonts w:ascii="Arial" w:cs="Arial" w:eastAsia="Arial" w:hAnsi="Arial"/>
        <w:color w:val="666666"/>
        <w:sz w:val="18"/>
        <w:szCs w:val="18"/>
      </w:rPr>
      <w:t xml:space="preserve">AMALI Data Programme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300" w:sz="4"/>
      </w:pBdr>
      <w:spacing w:before="0" w:after="120"/>
    </w:pPr>
    <w:r>
      <w:rPr>
        <w:rFonts w:ascii="Arial" w:cs="Arial" w:eastAsia="Arial" w:hAnsi="Arial"/>
        <w:color w:val="666666"/>
        <w:sz w:val="18"/>
        <w:szCs w:val="18"/>
      </w:rPr>
      <w:t xml:space="preserve">AMALI Data Programme  |  About the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2026-03-11T09:39:48.159Z</dcterms:created>
  <dcterms:modified xsi:type="dcterms:W3CDTF">2026-03-11T09:39:48.160Z</dcterms:modified>
</cp:coreProperties>
</file>

<file path=docProps/custom.xml><?xml version="1.0" encoding="utf-8"?>
<Properties xmlns="http://schemas.openxmlformats.org/officeDocument/2006/custom-properties" xmlns:vt="http://schemas.openxmlformats.org/officeDocument/2006/docPropsVTypes"/>
</file>