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A7655" w14:textId="77777777" w:rsidR="00A443DB" w:rsidRDefault="00000000">
      <w:pPr>
        <w:jc w:val="center"/>
      </w:pPr>
      <w:r>
        <w:rPr>
          <w:b/>
        </w:rPr>
        <w:t>Group Homework 5 - Theoretical Audit</w:t>
      </w:r>
    </w:p>
    <w:p w14:paraId="61DA73F8" w14:textId="77777777" w:rsidR="00A443DB" w:rsidRDefault="00000000">
      <w:pPr>
        <w:jc w:val="center"/>
      </w:pPr>
      <w:r>
        <w:rPr>
          <w:b/>
        </w:rPr>
        <w:t>Threat Modeling the COMPAS Deployment Pipeline</w:t>
      </w:r>
    </w:p>
    <w:p w14:paraId="149FC9D0" w14:textId="77777777" w:rsidR="00A443DB" w:rsidRDefault="00000000">
      <w:pPr>
        <w:spacing w:after="0"/>
      </w:pPr>
      <w:r>
        <w:t>Group 3 Team Members:</w:t>
      </w:r>
    </w:p>
    <w:p w14:paraId="510DE66F" w14:textId="77777777" w:rsidR="00A443DB" w:rsidRDefault="00000000">
      <w:pPr>
        <w:ind w:left="720"/>
      </w:pPr>
      <w:r>
        <w:t>·</w:t>
      </w:r>
      <w:r>
        <w:tab/>
        <w:t>Emilia Puskas</w:t>
      </w:r>
      <w:r>
        <w:br/>
        <w:t>·</w:t>
      </w:r>
      <w:r>
        <w:tab/>
        <w:t>William McHale</w:t>
      </w:r>
      <w:r>
        <w:br/>
        <w:t>·</w:t>
      </w:r>
      <w:r>
        <w:tab/>
        <w:t>Naina Magadzire</w:t>
      </w:r>
      <w:r>
        <w:br/>
        <w:t>·</w:t>
      </w:r>
      <w:r>
        <w:tab/>
        <w:t>Tsotne Dzeria</w:t>
      </w:r>
      <w:r>
        <w:br/>
        <w:t>·</w:t>
      </w:r>
      <w:r>
        <w:tab/>
        <w:t>David Porudominsky Rotstain</w:t>
      </w:r>
      <w:r>
        <w:br/>
        <w:t>·</w:t>
      </w:r>
      <w:r>
        <w:tab/>
        <w:t>Zuleirys Santana-Rodriguez</w:t>
      </w:r>
    </w:p>
    <w:p w14:paraId="1D4E212B" w14:textId="77777777" w:rsidR="00A443DB" w:rsidRDefault="00000000">
      <w:pPr>
        <w:jc w:val="both"/>
      </w:pPr>
      <w:r>
        <w:t>Using the NIST AI 100-2 taxonomy, three realistic adversarial actors can be identified across the COMPAS pipeline, each exploiting a distinct vulnerability surface.</w:t>
      </w:r>
    </w:p>
    <w:p w14:paraId="595B373A" w14:textId="77777777" w:rsidR="00A443DB" w:rsidRDefault="00000000">
      <w:pPr>
        <w:jc w:val="both"/>
      </w:pPr>
      <w:r>
        <w:rPr>
          <w:b/>
        </w:rPr>
        <w:t>Part A) Threat Modeling the COMPAS Deployment Pipeline</w:t>
      </w:r>
    </w:p>
    <w:p w14:paraId="1B628649" w14:textId="77777777" w:rsidR="00A443DB" w:rsidRDefault="00000000">
      <w:pPr>
        <w:jc w:val="both"/>
      </w:pPr>
      <w:r>
        <w:rPr>
          <w:b/>
          <w:sz w:val="27"/>
        </w:rPr>
        <w:t>Actor 1: Defendant (Evasion Attacker)</w:t>
      </w:r>
    </w:p>
    <w:p w14:paraId="2DC66CAC" w14:textId="77777777" w:rsidR="00A443DB" w:rsidRDefault="00000000">
      <w:pPr>
        <w:jc w:val="both"/>
      </w:pPr>
      <w:r>
        <w:rPr>
          <w:b/>
        </w:rPr>
        <w:t>(a) Goal.</w:t>
      </w:r>
      <w:r>
        <w:t xml:space="preserve"> Integrity breach. The defendant seeks to manipulate their own inputs at inference time to receive a low-risk score and avoid pretrial detention.</w:t>
      </w:r>
    </w:p>
    <w:p w14:paraId="3043C745" w14:textId="77777777" w:rsidR="00A443DB" w:rsidRDefault="00000000">
      <w:pPr>
        <w:jc w:val="both"/>
      </w:pPr>
      <w:r>
        <w:rPr>
          <w:b/>
        </w:rPr>
        <w:t>(b) Knowledge level.</w:t>
      </w:r>
      <w:r>
        <w:t xml:space="preserve"> Black-box. The defendant observes only their risk tier outcome and has general public knowledge that variables like priors_count and age influence the score, as documented in ProPublica's analysis.</w:t>
      </w:r>
    </w:p>
    <w:p w14:paraId="3340722A" w14:textId="77777777" w:rsidR="00A443DB" w:rsidRDefault="00000000">
      <w:pPr>
        <w:jc w:val="both"/>
      </w:pPr>
      <w:r>
        <w:rPr>
          <w:b/>
        </w:rPr>
        <w:t>(c) What they control.</w:t>
      </w:r>
      <w:r>
        <w:t xml:space="preserve"> Responses to the 137-question COMPAS questionnaire, which feeds attitudinal and social environment subscales. They cannot alter prior criminal history but can strategically frame answers to reduce their scored risk.</w:t>
      </w:r>
    </w:p>
    <w:p w14:paraId="4A6895C4" w14:textId="77777777" w:rsidR="00A443DB" w:rsidRDefault="00000000">
      <w:pPr>
        <w:jc w:val="both"/>
      </w:pPr>
      <w:r>
        <w:rPr>
          <w:b/>
        </w:rPr>
        <w:t>(d) NIST AI 100-2 attack class.</w:t>
      </w:r>
      <w:r>
        <w:t xml:space="preserve"> Deployment-time evasion attack (NIST AI 100-2, Section 2.2). Manipulating input features to cross a decision boundary is structurally equivalent to FGSM on tabular data, as demonstrated by the pgd_tabular function in the course notebook. The perturbation budget here is plausibility of self-report rather than a formal epsilon-ball, but the mathematical structure is identical.</w:t>
      </w:r>
    </w:p>
    <w:p w14:paraId="2946583F" w14:textId="77777777" w:rsidR="00A443DB" w:rsidRDefault="00000000">
      <w:pPr>
        <w:jc w:val="both"/>
      </w:pPr>
      <w:r>
        <w:rPr>
          <w:b/>
          <w:sz w:val="27"/>
        </w:rPr>
        <w:t>Actor 2: Insider Data Clerk (Poisoning Attacker)</w:t>
      </w:r>
    </w:p>
    <w:p w14:paraId="0AB42CC6" w14:textId="77777777" w:rsidR="00A443DB" w:rsidRDefault="00000000">
      <w:pPr>
        <w:jc w:val="both"/>
      </w:pPr>
      <w:r>
        <w:rPr>
          <w:b/>
        </w:rPr>
        <w:t>(a) Goal.</w:t>
      </w:r>
      <w:r>
        <w:t xml:space="preserve"> Fairness-targeted integrity breach. By flipping two_year_recid labels from 1 to 0 for a targeted racial group before model retraining, the insider causes the model to systematically under-score that group's risk. The notebook's poisoning sweep shows this can push AIR below the 4/5ths threshold while AUC declines by less than 2 percentage points, meaning standard performance monitoring would not detect it.</w:t>
      </w:r>
    </w:p>
    <w:p w14:paraId="3D267123" w14:textId="77777777" w:rsidR="00A443DB" w:rsidRDefault="00000000">
      <w:pPr>
        <w:jc w:val="both"/>
      </w:pPr>
      <w:r>
        <w:rPr>
          <w:b/>
        </w:rPr>
        <w:t>(b) Knowledge level.</w:t>
      </w:r>
      <w:r>
        <w:t xml:space="preserve"> White-box (data access). Write access to the training database is sufficient. The insider knows which records map to which demographic group and which labels will be ingested at the next model refresh.</w:t>
      </w:r>
    </w:p>
    <w:p w14:paraId="06CF10F4" w14:textId="77777777" w:rsidR="00A443DB" w:rsidRDefault="00000000">
      <w:pPr>
        <w:jc w:val="both"/>
      </w:pPr>
      <w:r>
        <w:rPr>
          <w:b/>
        </w:rPr>
        <w:lastRenderedPageBreak/>
        <w:t>(c) What they control.</w:t>
      </w:r>
      <w:r>
        <w:t xml:space="preserve"> Training labels and raw feature values for records they process. Even a 5 to 10 percent flip rate on one group's positive labels produces significant AIR degradation, consistent with the ByteDance insider poisoning incident of 2024.</w:t>
      </w:r>
    </w:p>
    <w:p w14:paraId="50CA0DD2" w14:textId="77777777" w:rsidR="00A443DB" w:rsidRDefault="00000000">
      <w:pPr>
        <w:jc w:val="both"/>
      </w:pPr>
      <w:r>
        <w:rPr>
          <w:b/>
        </w:rPr>
        <w:t>(d) NIST AI 100-2 attack class.</w:t>
      </w:r>
      <w:r>
        <w:t xml:space="preserve"> Targeted label-flip poisoning attack (NIST AI 100-2, Section 2.3). Because feature distributions are unchanged, a PSI-based drift monitor with a threshold below 0.10 would not flag this attack. PSI monitors the input distribution, not label integrity, which represents a critical governance gap.</w:t>
      </w:r>
    </w:p>
    <w:p w14:paraId="72811F6E" w14:textId="77777777" w:rsidR="00A443DB" w:rsidRDefault="00000000">
      <w:pPr>
        <w:jc w:val="both"/>
      </w:pPr>
      <w:r>
        <w:rPr>
          <w:b/>
          <w:sz w:val="27"/>
        </w:rPr>
        <w:t>Actor 3: Third-Party Vendor (Supply Chain Attacker)</w:t>
      </w:r>
    </w:p>
    <w:p w14:paraId="5E9FBF9C" w14:textId="77777777" w:rsidR="00A443DB" w:rsidRDefault="00000000">
      <w:pPr>
        <w:jc w:val="both"/>
      </w:pPr>
      <w:r>
        <w:rPr>
          <w:b/>
        </w:rPr>
        <w:t>(a) Goal.</w:t>
      </w:r>
      <w:r>
        <w:t xml:space="preserve"> Integrity breach via a backdoored model delivery. A malicious vendor can embed a trigger pattern before shipping the model, such that it behaves normally on all validation data but misclassifies specific inputs when a rare feature value is present, as described in the COMPAS Backdoor scenario in the lecture slides.</w:t>
      </w:r>
    </w:p>
    <w:p w14:paraId="3186BF3B" w14:textId="77777777" w:rsidR="00A443DB" w:rsidRDefault="00000000">
      <w:pPr>
        <w:jc w:val="both"/>
      </w:pPr>
      <w:r>
        <w:rPr>
          <w:b/>
        </w:rPr>
        <w:t>(b) Knowledge level.</w:t>
      </w:r>
      <w:r>
        <w:t xml:space="preserve"> White-box. The vendor has full access to the model weights, training data, and trigger design before delivery.</w:t>
      </w:r>
    </w:p>
    <w:p w14:paraId="19630211" w14:textId="77777777" w:rsidR="00A443DB" w:rsidRDefault="00000000">
      <w:pPr>
        <w:jc w:val="both"/>
      </w:pPr>
      <w:r>
        <w:rPr>
          <w:b/>
        </w:rPr>
        <w:t>(c) What they control.</w:t>
      </w:r>
      <w:r>
        <w:t xml:space="preserve"> The model weights and trigger design prior to deployment. The jurisdiction has no visibility into the model's provenance once it is installed.</w:t>
      </w:r>
    </w:p>
    <w:p w14:paraId="06531288" w14:textId="77777777" w:rsidR="00A443DB" w:rsidRDefault="00000000">
      <w:pPr>
        <w:jc w:val="both"/>
      </w:pPr>
      <w:r>
        <w:rPr>
          <w:b/>
        </w:rPr>
        <w:t>(d) NIST AI 100-2 attack class.</w:t>
      </w:r>
      <w:r>
        <w:t xml:space="preserve"> Supply chain backdoor attack (NIST AI 100-2, Section 2.3.3), identified by the 2025 NIST update as a distinct and harder-to-detect subtype. A backdoored model passes all standard validation metrics including AUC, FPR, and AIR on clean data. Detection requires behavioral and representation-space analysis such as activation clustering, not standard accuracy monitoring alone.</w:t>
      </w:r>
    </w:p>
    <w:p w14:paraId="3BFAA267" w14:textId="77777777" w:rsidR="00A443DB" w:rsidRDefault="00000000">
      <w:pPr>
        <w:jc w:val="both"/>
      </w:pPr>
      <w:r>
        <w:rPr>
          <w:b/>
        </w:rPr>
        <w:t>Part B) Privacy-Fairness Tradeoff</w:t>
      </w:r>
    </w:p>
    <w:p w14:paraId="19352FB3" w14:textId="77777777" w:rsidR="00A443DB" w:rsidRDefault="00000000">
      <w:pPr>
        <w:jc w:val="both"/>
      </w:pPr>
      <w:r>
        <w:rPr>
          <w:b/>
          <w:sz w:val="27"/>
        </w:rPr>
        <w:t>(a) The (ε, δ)-DP Guarantee</w:t>
      </w:r>
    </w:p>
    <w:p w14:paraId="2873972F" w14:textId="77777777" w:rsidR="00A443DB" w:rsidRDefault="00000000">
      <w:pPr>
        <w:jc w:val="both"/>
      </w:pPr>
      <w:r>
        <w:t>A randomized mechanism M satisfies (ε, δ)-differential privacy if for any two adjacent datasets D and D' differing by one record, and for any output set S:</w:t>
      </w:r>
    </w:p>
    <w:p w14:paraId="757B9F8B" w14:textId="77777777" w:rsidR="00A443DB" w:rsidRDefault="00000000">
      <w:pPr>
        <w:jc w:val="center"/>
      </w:pPr>
      <w:r>
        <w:t xml:space="preserve">Pr[M(D) </w:t>
      </w:r>
      <w:r>
        <w:rPr>
          <w:rFonts w:ascii="Cambria Math" w:hAnsi="Cambria Math"/>
        </w:rPr>
        <w:t>∈</w:t>
      </w:r>
      <w:r>
        <w:t xml:space="preserve"> S] ≤ e^ε · Pr[M(D') </w:t>
      </w:r>
      <w:r>
        <w:rPr>
          <w:rFonts w:ascii="Cambria Math" w:hAnsi="Cambria Math"/>
        </w:rPr>
        <w:t>∈</w:t>
      </w:r>
      <w:r>
        <w:t xml:space="preserve"> S] + δ</w:t>
      </w:r>
    </w:p>
    <w:p w14:paraId="22A47D8D" w14:textId="77777777" w:rsidR="00A443DB" w:rsidRDefault="00000000">
      <w:pPr>
        <w:jc w:val="both"/>
      </w:pPr>
      <w:r>
        <w:t>Here ε controls the privacy budget (smaller ε = stronger privacy) and δ is the probability of a catastrophic privacy failure. In practice, DP training adds calibrated Gaussian or Laplace noise to gradients during model training, bounding each individual record's influence on the learned parameters.</w:t>
      </w:r>
    </w:p>
    <w:p w14:paraId="1B714CD6" w14:textId="77777777" w:rsidR="00A443DB" w:rsidRDefault="00000000">
      <w:pPr>
        <w:jc w:val="both"/>
      </w:pPr>
      <w:r>
        <w:rPr>
          <w:b/>
          <w:sz w:val="27"/>
        </w:rPr>
        <w:t>(b) Why DP Disproportionately Harms Minority Groups</w:t>
      </w:r>
    </w:p>
    <w:p w14:paraId="649D7393" w14:textId="77777777" w:rsidR="00A443DB" w:rsidRDefault="00000000">
      <w:pPr>
        <w:jc w:val="both"/>
      </w:pPr>
      <w:r>
        <w:t>The core mechanism is a data density problem. DP noise is added uniformly across the gradient space regardless of subgroup size, but the signal-to-noise ratio for learning any subgroup's pattern scales with the number of training examples representing that group. Majority groups contribute many training samples, so their gradient signal dominates and survives the added noise. Minority groups contribute fewer samples, meaning the noise overwhelms their signal first.</w:t>
      </w:r>
    </w:p>
    <w:p w14:paraId="0767B356" w14:textId="77777777" w:rsidR="00A443DB" w:rsidRDefault="00000000">
      <w:pPr>
        <w:jc w:val="both"/>
      </w:pPr>
      <w:r>
        <w:lastRenderedPageBreak/>
        <w:t>In the COMPAS training set, African-American defendants are the largest single group but subgroups defined by intersecting characteristics (race, charge type, age bracket) can be small enough that DP noise effectively erases their predictive signal. Bagdasaryan and Shmatikov (2019) showed empirically that the accuracy gap between majority and minority subgroups widens monotonically as ε decreases. The model essentially forgets minority subgroup patterns before it forgets majority ones, because minority patterns require more precise gradient updates to learn.</w:t>
      </w:r>
    </w:p>
    <w:p w14:paraId="3057910E" w14:textId="77777777" w:rsidR="00A443DB" w:rsidRDefault="00000000">
      <w:pPr>
        <w:jc w:val="both"/>
      </w:pPr>
      <w:r>
        <w:rPr>
          <w:b/>
          <w:sz w:val="27"/>
        </w:rPr>
        <w:t>(c) Simultaneous Satisfaction of DP, FPR Parity, and MI Resistance in COMPAS</w:t>
      </w:r>
    </w:p>
    <w:p w14:paraId="2A64A360" w14:textId="77777777" w:rsidR="00A443DB" w:rsidRDefault="00000000">
      <w:pPr>
        <w:jc w:val="both"/>
      </w:pPr>
      <w:r>
        <w:t>The short answer is that simultaneous satisfaction is theoretically possible but practically constrained to a narrow and potentially unworkable operating window.</w:t>
      </w:r>
    </w:p>
    <w:p w14:paraId="71DC52D1" w14:textId="77777777" w:rsidR="00A443DB" w:rsidRDefault="00000000">
      <w:pPr>
        <w:jc w:val="both"/>
      </w:pPr>
      <w:r>
        <w:t>The tension works as follows. Membership inference (MI) resistance requires reducing the generalization gap, because MI AUC is driven by overfit models assigning higher confidence to training members than non-members, as demonstrated in the shadow-model pipeline in Cell 7 of the notebook. DP training directly reduces overfitting and therefore reduces MI vulnerability, so DP and MI resistance are complementary goals.</w:t>
      </w:r>
    </w:p>
    <w:p w14:paraId="2C621DEE" w14:textId="77777777" w:rsidR="00A443DB" w:rsidRDefault="00000000">
      <w:pPr>
        <w:jc w:val="both"/>
      </w:pPr>
      <w:r>
        <w:t>The conflict arises when DP is introduced alongside FPR parity. As established in part (b), DP noise degrades minority subgroup accuracy faster than majority accuracy. In the COMPAS context this means the model's FPR for African-American defendants is likely to rise relative to Caucasian defendants as ε decreases, because the model loses calibration on the minority group's decision boundary first. This directly worsens AIR, potentially pushing it below the 4/5ths rule threshold even if the clean-model baseline was compliant.</w:t>
      </w:r>
    </w:p>
    <w:p w14:paraId="4B22ECA2" w14:textId="77777777" w:rsidR="00A443DB" w:rsidRDefault="00000000">
      <w:pPr>
        <w:jc w:val="both"/>
      </w:pPr>
      <w:r>
        <w:t>Simultaneous satisfaction would require three conditions to hold at once. First, ε must be set large enough that minority-group gradient signal survives the noise, preserving FPR parity. Second, ε must be set small enough to provide meaningful MI resistance. Third, the training dataset must be large enough and the minority subgroup must be sufficiently represented that both conditions can be met within the same ε range. In practice, Bagdasaryan and Shmatikov (2019) found that these conditions rarely align without active intervention. Potential mitigations include group-specific clipping norms that reduce noise for underrepresented subgroups, or post-processing threshold calibration by race after DP training. However, both interventions introduce their own tradeoffs, and no certified solution currently guarantees all three properties simultaneously, which NIST AI 100-2 Section 4 acknowledges as an open research problem.</w:t>
      </w:r>
    </w:p>
    <w:p w14:paraId="15DCCD09" w14:textId="77777777" w:rsidR="00A443DB" w:rsidRDefault="00000000">
      <w:pPr>
        <w:jc w:val="both"/>
      </w:pPr>
      <w:r>
        <w:rPr>
          <w:b/>
        </w:rPr>
        <w:t>Part C) Governance Recommendation</w:t>
      </w:r>
    </w:p>
    <w:p w14:paraId="52B27F00" w14:textId="77777777" w:rsidR="00A443DB" w:rsidRDefault="00000000">
      <w:pPr>
        <w:jc w:val="both"/>
      </w:pPr>
      <w:r>
        <w:t xml:space="preserve">Of the attack classes identified in this analysis, targeted label-flip poisoning poses the greatest risk to a court system deploying COMPAS. Unlike evasion attacks, which require individual effort at inference time, or supply chain backdoors, which demand a malicious vendor relationship, poisoning can be executed by any insider with routine write access to case management records and leaves no detectable signature in standard performance monitoring. The stealth zone demonstrated in the notebook, where AIR falls below the 4/5ths threshold while AUC declines by less than 2 percentage points, means the attack can persist across multiple retraining cycles without triggering any existing audit mechanism. The recommended mitigation is cryptographic data provenance combined with a RONI (Reject on Negative Impact) filter applied before each retraining cycle. Cryptographic hashing of dataset snapshots at each pipeline stage detects any </w:t>
      </w:r>
      <w:r>
        <w:lastRenderedPageBreak/>
        <w:t>unauthorized modification to training records, while RONI filtering identifies and quarantines individual samples whose inclusion significantly degrades validation performance. The tradeoff this introduces is operational. Maintaining a cryptographic audit trail requires infrastructure investment and assigns clear custodial responsibility for data integrity to specific personnel, which may encounter institutional resistance in underfunded court systems. RONI filtering also adds computational cost to the retraining pipeline and offers limited protection against backdoor and clean-label attacks, which evade label-based detection by design as noted in NIST AI 100-2 Section 4. A court system adopting this mitigation should therefore treat it as a necessary but not sufficient control, supplemented by periodic third-party audits of training data lineage and fairness metrics across retraining cycles.</w:t>
      </w:r>
    </w:p>
    <w:p w14:paraId="24BF0DB3" w14:textId="77777777" w:rsidR="00A443DB" w:rsidRDefault="00A443DB"/>
    <w:sectPr w:rsidR="00A443DB">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E99093" w14:textId="77777777" w:rsidR="00D25290" w:rsidRDefault="00D25290">
      <w:pPr>
        <w:spacing w:after="0"/>
      </w:pPr>
      <w:r>
        <w:separator/>
      </w:r>
    </w:p>
  </w:endnote>
  <w:endnote w:type="continuationSeparator" w:id="0">
    <w:p w14:paraId="63DFA8EF" w14:textId="77777777" w:rsidR="00D25290" w:rsidRDefault="00D2529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84A492" w14:textId="77777777" w:rsidR="00D25290" w:rsidRDefault="00D25290">
      <w:r>
        <w:separator/>
      </w:r>
    </w:p>
  </w:footnote>
  <w:footnote w:type="continuationSeparator" w:id="0">
    <w:p w14:paraId="0F93851F" w14:textId="77777777" w:rsidR="00D25290" w:rsidRDefault="00D252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974FE1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521"/>
    <w:multiLevelType w:val="multilevel"/>
    <w:tmpl w:val="0122F280"/>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2" w15:restartNumberingAfterBreak="0">
    <w:nsid w:val="00A99522"/>
    <w:multiLevelType w:val="multilevel"/>
    <w:tmpl w:val="0AACB790"/>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3" w15:restartNumberingAfterBreak="0">
    <w:nsid w:val="00A99523"/>
    <w:multiLevelType w:val="multilevel"/>
    <w:tmpl w:val="08EECB5C"/>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abstractNum w:abstractNumId="4" w15:restartNumberingAfterBreak="0">
    <w:nsid w:val="00A99524"/>
    <w:multiLevelType w:val="multilevel"/>
    <w:tmpl w:val="F104E7A4"/>
    <w:lvl w:ilvl="0">
      <w:start w:val="4"/>
      <w:numFmt w:val="lowerRoman"/>
      <w:lvlText w:val="%1)"/>
      <w:lvlJc w:val="left"/>
      <w:pPr>
        <w:ind w:left="720" w:hanging="480"/>
      </w:pPr>
    </w:lvl>
    <w:lvl w:ilvl="1">
      <w:start w:val="4"/>
      <w:numFmt w:val="lowerRoman"/>
      <w:lvlText w:val="%2)"/>
      <w:lvlJc w:val="left"/>
      <w:pPr>
        <w:ind w:left="1440" w:hanging="480"/>
      </w:pPr>
    </w:lvl>
    <w:lvl w:ilvl="2">
      <w:start w:val="4"/>
      <w:numFmt w:val="lowerRoman"/>
      <w:lvlText w:val="%3)"/>
      <w:lvlJc w:val="left"/>
      <w:pPr>
        <w:ind w:left="2160" w:hanging="480"/>
      </w:pPr>
    </w:lvl>
    <w:lvl w:ilvl="3">
      <w:start w:val="4"/>
      <w:numFmt w:val="lowerRoman"/>
      <w:lvlText w:val="%4)"/>
      <w:lvlJc w:val="left"/>
      <w:pPr>
        <w:ind w:left="2880" w:hanging="480"/>
      </w:pPr>
    </w:lvl>
    <w:lvl w:ilvl="4">
      <w:start w:val="4"/>
      <w:numFmt w:val="lowerRoman"/>
      <w:lvlText w:val="%5)"/>
      <w:lvlJc w:val="left"/>
      <w:pPr>
        <w:ind w:left="3600" w:hanging="480"/>
      </w:pPr>
    </w:lvl>
    <w:lvl w:ilvl="5">
      <w:start w:val="4"/>
      <w:numFmt w:val="lowerRoman"/>
      <w:lvlText w:val="%6)"/>
      <w:lvlJc w:val="left"/>
      <w:pPr>
        <w:ind w:left="4320" w:hanging="480"/>
      </w:pPr>
    </w:lvl>
    <w:lvl w:ilvl="6">
      <w:start w:val="4"/>
      <w:numFmt w:val="lowerRoman"/>
      <w:lvlText w:val="%7)"/>
      <w:lvlJc w:val="left"/>
      <w:pPr>
        <w:ind w:left="5040" w:hanging="480"/>
      </w:pPr>
    </w:lvl>
    <w:lvl w:ilvl="7">
      <w:start w:val="4"/>
      <w:numFmt w:val="lowerRoman"/>
      <w:lvlText w:val="%8)"/>
      <w:lvlJc w:val="left"/>
      <w:pPr>
        <w:ind w:left="5760" w:hanging="480"/>
      </w:pPr>
    </w:lvl>
    <w:lvl w:ilvl="8">
      <w:start w:val="4"/>
      <w:numFmt w:val="lowerRoman"/>
      <w:lvlText w:val="%9)"/>
      <w:lvlJc w:val="left"/>
      <w:pPr>
        <w:ind w:left="6480" w:hanging="480"/>
      </w:pPr>
    </w:lvl>
  </w:abstractNum>
  <w:abstractNum w:abstractNumId="5" w15:restartNumberingAfterBreak="0">
    <w:nsid w:val="00A99721"/>
    <w:multiLevelType w:val="multilevel"/>
    <w:tmpl w:val="7CCAD0C4"/>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6" w15:restartNumberingAfterBreak="0">
    <w:nsid w:val="00A99722"/>
    <w:multiLevelType w:val="multilevel"/>
    <w:tmpl w:val="C5CA5294"/>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7" w15:restartNumberingAfterBreak="0">
    <w:nsid w:val="00A99723"/>
    <w:multiLevelType w:val="multilevel"/>
    <w:tmpl w:val="105CE7D0"/>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8" w15:restartNumberingAfterBreak="0">
    <w:nsid w:val="00A99724"/>
    <w:multiLevelType w:val="multilevel"/>
    <w:tmpl w:val="70248CCA"/>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num w:numId="1" w16cid:durableId="657265973">
    <w:abstractNumId w:val="0"/>
  </w:num>
  <w:num w:numId="2" w16cid:durableId="105912929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385240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52546648">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 w16cid:durableId="1264418021">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6" w16cid:durableId="137765028">
    <w:abstractNumId w:val="6"/>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7" w16cid:durableId="5705793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73290397">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9" w16cid:durableId="1204633630">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 w16cid:durableId="864710980">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 w16cid:durableId="834339524">
    <w:abstractNumId w:val="7"/>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 w16cid:durableId="29730116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77016413">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 w16cid:durableId="722143670">
    <w:abstractNumId w:val="8"/>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 w16cid:durableId="8216548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5C1"/>
    <w:rsid w:val="00095F94"/>
    <w:rsid w:val="000D1DC9"/>
    <w:rsid w:val="001D5897"/>
    <w:rsid w:val="001E3C8E"/>
    <w:rsid w:val="00432F13"/>
    <w:rsid w:val="007925C1"/>
    <w:rsid w:val="0080108A"/>
    <w:rsid w:val="00891C5D"/>
    <w:rsid w:val="00972E88"/>
    <w:rsid w:val="00A443DB"/>
    <w:rsid w:val="00A9555B"/>
    <w:rsid w:val="00B70404"/>
    <w:rsid w:val="00C17281"/>
    <w:rsid w:val="00C71FD2"/>
    <w:rsid w:val="00D01F30"/>
    <w:rsid w:val="00D25290"/>
    <w:rsid w:val="00D4485A"/>
    <w:rsid w:val="00EC0D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2312466"/>
  <w15:docId w15:val="{023A2766-C5AE-C54D-B040-4E4D0F84C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imes New Roman" w:eastAsia="Times New Roman" w:hAnsi="Times New Roman"/>
      <w:color w:val="000000"/>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1421</Words>
  <Characters>8101</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Puskas, Emilia M</dc:creator>
  <cp:keywords/>
  <cp:lastModifiedBy>Santana Rodriguez, Zuleirys</cp:lastModifiedBy>
  <cp:revision>2</cp:revision>
  <cp:lastPrinted>2026-04-25T01:34:00Z</cp:lastPrinted>
  <dcterms:created xsi:type="dcterms:W3CDTF">2026-04-28T21:50:00Z</dcterms:created>
  <dcterms:modified xsi:type="dcterms:W3CDTF">2026-04-28T21:50:00Z</dcterms:modified>
</cp:coreProperties>
</file>