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CCD15" w14:textId="77777777" w:rsidR="007925C1" w:rsidRDefault="00000000">
      <w:pPr>
        <w:pStyle w:val="FirstParagraph"/>
        <w:spacing w:before="0" w:after="0"/>
        <w:jc w:val="center"/>
      </w:pPr>
      <w:r>
        <w:rPr>
          <w:b/>
        </w:rPr>
        <w:t>Group Homework 3 – Mathematical</w:t>
      </w:r>
    </w:p>
    <w:p w14:paraId="20F47433" w14:textId="77777777" w:rsidR="007925C1" w:rsidRDefault="00000000">
      <w:pPr>
        <w:pStyle w:val="BodyText"/>
        <w:spacing w:before="0" w:after="0"/>
      </w:pPr>
      <w:r>
        <w:rPr>
          <w:u w:val="single"/>
        </w:rPr>
        <w:t>Group 3 Team Members:</w:t>
      </w:r>
    </w:p>
    <w:p w14:paraId="5D1A8CA3" w14:textId="77777777" w:rsidR="007925C1" w:rsidRDefault="00000000">
      <w:pPr>
        <w:pStyle w:val="BodyText"/>
        <w:spacing w:before="0" w:after="0"/>
        <w:ind w:left="720"/>
      </w:pPr>
      <w:r>
        <w:t>·</w:t>
      </w:r>
      <w:r>
        <w:tab/>
        <w:t>Emilia Puskas</w:t>
      </w:r>
      <w:r>
        <w:br/>
        <w:t>·</w:t>
      </w:r>
      <w:r>
        <w:tab/>
        <w:t>William McHale</w:t>
      </w:r>
      <w:r>
        <w:br/>
        <w:t>·</w:t>
      </w:r>
      <w:r>
        <w:tab/>
        <w:t>Naina Magadzire</w:t>
      </w:r>
      <w:r>
        <w:br/>
        <w:t>·</w:t>
      </w:r>
      <w:r>
        <w:tab/>
        <w:t>Tsotne Dzeria</w:t>
      </w:r>
      <w:r>
        <w:br/>
        <w:t>·</w:t>
      </w:r>
      <w:r>
        <w:tab/>
        <w:t>David Porudominsky Rotstain</w:t>
      </w:r>
      <w:r>
        <w:br/>
        <w:t>·</w:t>
      </w:r>
      <w:r>
        <w:tab/>
        <w:t>Zuleirys Santana-Rodriguez</w:t>
      </w:r>
    </w:p>
    <w:p w14:paraId="09FB614D" w14:textId="77777777" w:rsidR="00C17281" w:rsidRDefault="00C17281">
      <w:pPr>
        <w:pStyle w:val="BodyText"/>
        <w:spacing w:before="0" w:after="0"/>
        <w:ind w:left="720"/>
      </w:pPr>
    </w:p>
    <w:p w14:paraId="5E922753" w14:textId="77777777" w:rsidR="007925C1" w:rsidRDefault="00000000">
      <w:pPr>
        <w:pStyle w:val="BodyText"/>
        <w:spacing w:before="0" w:after="0"/>
      </w:pPr>
      <w:r>
        <w:t xml:space="preserve">Let </w:t>
      </w:r>
      <m:oMath>
        <m:r>
          <w:rPr>
            <w:rFonts w:ascii="Cambria Math" w:hAnsi="Cambria Math"/>
          </w:rPr>
          <m:t>h</m:t>
        </m:r>
      </m:oMath>
      <w:r>
        <w:t xml:space="preserve"> be a binary classifier, </w:t>
      </w:r>
      <m:oMath>
        <m:r>
          <w:rPr>
            <w:rFonts w:ascii="Cambria Math" w:hAnsi="Cambria Math"/>
          </w:rPr>
          <m:t>S</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 score, </w:t>
      </w:r>
      <m:oMath>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outcome, and </w:t>
      </w:r>
      <m:oMath>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 protected attribute.</w:t>
      </w:r>
    </w:p>
    <w:p w14:paraId="27FB7A63" w14:textId="77777777" w:rsidR="007925C1" w:rsidRDefault="00000000">
      <w:pPr>
        <w:pStyle w:val="BodyText"/>
        <w:spacing w:before="0" w:after="0"/>
      </w:pPr>
      <w:r>
        <w:rPr>
          <w:b/>
          <w:bCs/>
        </w:rPr>
        <w:t>Question A)</w:t>
      </w:r>
    </w:p>
    <w:p w14:paraId="7592FCA2" w14:textId="77777777" w:rsidR="007925C1" w:rsidRDefault="00000000">
      <w:pPr>
        <w:pStyle w:val="Compact"/>
        <w:numPr>
          <w:ilvl w:val="0"/>
          <w:numId w:val="2"/>
        </w:numPr>
        <w:spacing w:before="0" w:after="0"/>
      </w:pPr>
      <w:r>
        <w:t>State the conditions for calibration, FPR parity, and FNR parity.</w:t>
      </w:r>
    </w:p>
    <w:p w14:paraId="544D833C" w14:textId="77777777" w:rsidR="007925C1" w:rsidRDefault="00000000">
      <w:pPr>
        <w:pStyle w:val="Compact"/>
        <w:numPr>
          <w:ilvl w:val="0"/>
          <w:numId w:val="3"/>
        </w:numPr>
        <w:spacing w:before="0" w:after="0"/>
      </w:pPr>
      <w:r>
        <w:rPr>
          <w:b/>
          <w:bCs/>
        </w:rPr>
        <w:t>Calibration.</w:t>
      </w:r>
      <w:r>
        <w:t xml:space="preserve"> A score is calibrated within groups if</w:t>
      </w:r>
    </w:p>
    <w:p w14:paraId="3CB07681" w14:textId="77777777" w:rsidR="007925C1" w:rsidRDefault="00000000">
      <w:pPr>
        <w:pStyle w:val="FirstParagraph"/>
        <w:spacing w:before="0" w:after="0"/>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s</m:t>
          </m:r>
          <m:r>
            <m:rPr>
              <m:sty m:val="p"/>
            </m:rPr>
            <w:rPr>
              <w:rFonts w:ascii="Cambria Math" w:hAnsi="Cambria Math"/>
            </w:rPr>
            <m:t>.</m:t>
          </m:r>
        </m:oMath>
      </m:oMathPara>
    </w:p>
    <w:p w14:paraId="58BF074E" w14:textId="77777777" w:rsidR="007925C1" w:rsidRDefault="00000000">
      <w:pPr>
        <w:pStyle w:val="FirstParagraph"/>
        <w:spacing w:before="0" w:after="0"/>
      </w:pPr>
      <w:r>
        <w:t xml:space="preserve">This must hold for every </w:t>
      </w:r>
      <m:oMath>
        <m:r>
          <w:rPr>
            <w:rFonts w:ascii="Cambria Math" w:hAnsi="Cambria Math"/>
          </w:rPr>
          <m:t>s</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w:t>
      </w:r>
      <m:oMath>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Equivalently,</w:t>
      </w:r>
    </w:p>
    <w:p w14:paraId="33883060" w14:textId="77777777" w:rsidR="007925C1" w:rsidRDefault="00000000">
      <w:pPr>
        <w:pStyle w:val="BodyText"/>
        <w:spacing w:before="0" w:after="0"/>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s</m:t>
          </m:r>
          <m:r>
            <m:rPr>
              <m:sty m:val="p"/>
            </m:rPr>
            <w:rPr>
              <w:rFonts w:ascii="Cambria Math" w:hAnsi="Cambria Math"/>
            </w:rPr>
            <m:t>.</m:t>
          </m:r>
        </m:oMath>
      </m:oMathPara>
    </w:p>
    <w:p w14:paraId="0AB4A214" w14:textId="77777777" w:rsidR="007925C1" w:rsidRDefault="00000000">
      <w:pPr>
        <w:pStyle w:val="FirstParagraph"/>
        <w:spacing w:before="0" w:after="0"/>
      </w:pPr>
      <w:r>
        <w:t xml:space="preserve">This means the score carries the same predictive meaning across groups: a risk score of </w:t>
      </w:r>
      <m:oMath>
        <m:r>
          <w:rPr>
            <w:rFonts w:ascii="Cambria Math" w:hAnsi="Cambria Math"/>
          </w:rPr>
          <m:t>s</m:t>
        </m:r>
      </m:oMath>
      <w:r>
        <w:t xml:space="preserve"> corresponds to the same posterior probability of </w:t>
      </w:r>
      <m:oMath>
        <m:r>
          <w:rPr>
            <w:rFonts w:ascii="Cambria Math" w:hAnsi="Cambria Math"/>
          </w:rPr>
          <m:t>Y</m:t>
        </m:r>
        <m:r>
          <m:rPr>
            <m:sty m:val="p"/>
          </m:rPr>
          <w:rPr>
            <w:rFonts w:ascii="Cambria Math" w:hAnsi="Cambria Math"/>
          </w:rPr>
          <m:t>=</m:t>
        </m:r>
        <m:r>
          <w:rPr>
            <w:rFonts w:ascii="Cambria Math" w:hAnsi="Cambria Math"/>
          </w:rPr>
          <m:t>1</m:t>
        </m:r>
      </m:oMath>
      <w:r>
        <w:t xml:space="preserve"> regardless of group membership.</w:t>
      </w:r>
    </w:p>
    <w:p w14:paraId="4EBA8C84" w14:textId="77777777" w:rsidR="007925C1" w:rsidRDefault="00000000">
      <w:pPr>
        <w:pStyle w:val="Compact"/>
        <w:numPr>
          <w:ilvl w:val="0"/>
          <w:numId w:val="4"/>
        </w:numPr>
        <w:spacing w:before="0" w:after="0"/>
      </w:pPr>
      <w:r>
        <w:rPr>
          <w:b/>
          <w:bCs/>
        </w:rPr>
        <w:t>FPR parity.</w:t>
      </w:r>
      <w:r>
        <w:t xml:space="preserve"> False-positive-rate parity requires </w:t>
      </w:r>
      <m:oMath>
        <m:sSub>
          <m:sSubPr>
            <m:ctrlPr>
              <w:rPr>
                <w:rFonts w:ascii="Cambria Math" w:hAnsi="Cambria Math"/>
              </w:rPr>
            </m:ctrlPr>
          </m:sSubPr>
          <m:e>
            <m:r>
              <m:rPr>
                <m:sty m:val="p"/>
              </m:rPr>
              <w:rPr>
                <w:rFonts w:ascii="Cambria Math" w:hAnsi="Cambria Math"/>
              </w:rPr>
              <m:t>FPR</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FPR</m:t>
            </m:r>
          </m:e>
          <m:sub>
            <m:r>
              <w:rPr>
                <w:rFonts w:ascii="Cambria Math" w:hAnsi="Cambria Math"/>
              </w:rPr>
              <m:t>1</m:t>
            </m:r>
          </m:sub>
        </m:sSub>
      </m:oMath>
      <w:r>
        <w:t>, or equivalently,</w:t>
      </w:r>
    </w:p>
    <w:p w14:paraId="65AD8715" w14:textId="77777777" w:rsidR="007925C1" w:rsidRDefault="00000000">
      <w:pPr>
        <w:pStyle w:val="FirstParagraph"/>
        <w:spacing w:before="0" w:after="0"/>
      </w:pPr>
      <m:oMathPara>
        <m:oMathParaPr>
          <m:jc m:val="center"/>
        </m:oMathParaPr>
        <m:oMath>
          <m:r>
            <w:rPr>
              <w:rFonts w:ascii="Cambria Math" w:hAnsi="Cambria Math"/>
            </w:rPr>
            <m:t>P</m:t>
          </m:r>
          <m:d>
            <m:dPr>
              <m:ctrlPr>
                <w:rPr>
                  <w:rFonts w:ascii="Cambria Math" w:hAnsi="Cambria Math"/>
                </w:rPr>
              </m:ctrlPr>
            </m:dPr>
            <m:e>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P</m:t>
          </m:r>
          <m:d>
            <m:dPr>
              <m:ctrlPr>
                <w:rPr>
                  <w:rFonts w:ascii="Cambria Math" w:hAnsi="Cambria Math"/>
                </w:rPr>
              </m:ctrlPr>
            </m:dPr>
            <m:e>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e>
          </m:d>
          <m:r>
            <m:rPr>
              <m:sty m:val="p"/>
            </m:rPr>
            <w:rPr>
              <w:rFonts w:ascii="Cambria Math" w:hAnsi="Cambria Math"/>
            </w:rPr>
            <m:t>.</m:t>
          </m:r>
        </m:oMath>
      </m:oMathPara>
    </w:p>
    <w:p w14:paraId="4D241662" w14:textId="77777777" w:rsidR="007925C1" w:rsidRDefault="00000000">
      <w:pPr>
        <w:pStyle w:val="FirstParagraph"/>
        <w:spacing w:before="0" w:after="0"/>
      </w:pPr>
      <w:r>
        <w:t>This means the rate at which truly negative individuals are incorrectly predicted positive is equal across groups.</w:t>
      </w:r>
    </w:p>
    <w:p w14:paraId="7C7B7AB3" w14:textId="77777777" w:rsidR="007925C1" w:rsidRDefault="00000000">
      <w:pPr>
        <w:pStyle w:val="Compact"/>
        <w:numPr>
          <w:ilvl w:val="0"/>
          <w:numId w:val="5"/>
        </w:numPr>
        <w:spacing w:before="0" w:after="0"/>
      </w:pPr>
      <w:r>
        <w:rPr>
          <w:b/>
          <w:bCs/>
        </w:rPr>
        <w:t>FNR parity.</w:t>
      </w:r>
      <w:r>
        <w:t xml:space="preserve"> False-negative-rate parity requires </w:t>
      </w:r>
      <m:oMath>
        <m:sSub>
          <m:sSubPr>
            <m:ctrlPr>
              <w:rPr>
                <w:rFonts w:ascii="Cambria Math" w:hAnsi="Cambria Math"/>
              </w:rPr>
            </m:ctrlPr>
          </m:sSubPr>
          <m:e>
            <m:r>
              <m:rPr>
                <m:sty m:val="p"/>
              </m:rPr>
              <w:rPr>
                <w:rFonts w:ascii="Cambria Math" w:hAnsi="Cambria Math"/>
              </w:rPr>
              <m:t>FNR</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FNR</m:t>
            </m:r>
          </m:e>
          <m:sub>
            <m:r>
              <w:rPr>
                <w:rFonts w:ascii="Cambria Math" w:hAnsi="Cambria Math"/>
              </w:rPr>
              <m:t>1</m:t>
            </m:r>
          </m:sub>
        </m:sSub>
      </m:oMath>
      <w:r>
        <w:t>, or equivalently,</w:t>
      </w:r>
    </w:p>
    <w:p w14:paraId="281F21B6" w14:textId="77777777" w:rsidR="007925C1" w:rsidRDefault="00000000">
      <w:pPr>
        <w:pStyle w:val="FirstParagraph"/>
        <w:spacing w:before="0" w:after="0"/>
      </w:pPr>
      <m:oMathPara>
        <m:oMathParaPr>
          <m:jc m:val="center"/>
        </m:oMathParaPr>
        <m:oMath>
          <m:r>
            <w:rPr>
              <w:rFonts w:ascii="Cambria Math" w:hAnsi="Cambria Math"/>
            </w:rPr>
            <m:t>P</m:t>
          </m:r>
          <m:d>
            <m:dPr>
              <m:ctrlPr>
                <w:rPr>
                  <w:rFonts w:ascii="Cambria Math" w:hAnsi="Cambria Math"/>
                </w:rPr>
              </m:ctrlPr>
            </m:dPr>
            <m:e>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P</m:t>
          </m:r>
          <m:d>
            <m:dPr>
              <m:ctrlPr>
                <w:rPr>
                  <w:rFonts w:ascii="Cambria Math" w:hAnsi="Cambria Math"/>
                </w:rPr>
              </m:ctrlPr>
            </m:dPr>
            <m:e>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e>
          </m:d>
          <m:r>
            <m:rPr>
              <m:sty m:val="p"/>
            </m:rPr>
            <w:rPr>
              <w:rFonts w:ascii="Cambria Math" w:hAnsi="Cambria Math"/>
            </w:rPr>
            <m:t>.</m:t>
          </m:r>
        </m:oMath>
      </m:oMathPara>
    </w:p>
    <w:p w14:paraId="4D5D002F" w14:textId="77777777" w:rsidR="007925C1" w:rsidRDefault="00000000">
      <w:pPr>
        <w:pStyle w:val="FirstParagraph"/>
        <w:spacing w:before="0" w:after="0"/>
      </w:pPr>
      <w:r>
        <w:t>This means the rate at which truly positive individuals are incorrectly predicted negative is equal across groups.</w:t>
      </w:r>
    </w:p>
    <w:p w14:paraId="03DCE657" w14:textId="77777777" w:rsidR="007925C1" w:rsidRDefault="00000000">
      <w:pPr>
        <w:pStyle w:val="BodyText"/>
        <w:spacing w:before="0" w:after="0"/>
      </w:pPr>
      <w:r>
        <w:rPr>
          <w:b/>
          <w:bCs/>
        </w:rPr>
        <w:t>Question B)</w:t>
      </w:r>
    </w:p>
    <w:p w14:paraId="4C7D5439" w14:textId="77777777" w:rsidR="007925C1" w:rsidRDefault="00000000">
      <w:pPr>
        <w:pStyle w:val="Compact"/>
        <w:numPr>
          <w:ilvl w:val="0"/>
          <w:numId w:val="6"/>
        </w:numPr>
        <w:spacing w:before="0" w:after="0"/>
      </w:pPr>
      <w:r>
        <w:t xml:space="preserve">Prove that when </w:t>
      </w: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e>
        </m:d>
      </m:oMath>
      <w:r>
        <w:t>, no non-trivial classifier satisfies all three simultaneously.</w:t>
      </w:r>
    </w:p>
    <w:p w14:paraId="5FDC7805" w14:textId="77777777" w:rsidR="007925C1" w:rsidRDefault="00000000">
      <w:pPr>
        <w:pStyle w:val="Compact"/>
        <w:numPr>
          <w:ilvl w:val="0"/>
          <w:numId w:val="7"/>
        </w:numPr>
        <w:spacing w:before="0" w:after="0"/>
      </w:pPr>
      <w:r>
        <w:t xml:space="preserve">Let </w:t>
      </w:r>
      <m:oMath>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e>
        </m:d>
      </m:oMath>
      <w:r>
        <w:t xml:space="preserve"> be the base rate for group </w:t>
      </w:r>
      <m:oMath>
        <m:r>
          <w:rPr>
            <w:rFonts w:ascii="Cambria Math" w:hAnsi="Cambria Math"/>
          </w:rPr>
          <m:t>a</m:t>
        </m:r>
      </m:oMath>
      <w:r>
        <w:t xml:space="preserve">, and let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P</m:t>
        </m:r>
        <m:d>
          <m:dPr>
            <m:ctrlPr>
              <w:rPr>
                <w:rFonts w:ascii="Cambria Math" w:hAnsi="Cambria Math"/>
              </w:rPr>
            </m:ctrlPr>
          </m:dPr>
          <m:e>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e>
        </m:d>
      </m:oMath>
      <w:r>
        <w:t xml:space="preserve"> be the selection rate. By the law of total probability,</w:t>
      </w:r>
    </w:p>
    <w:p w14:paraId="27F553D3" w14:textId="77777777" w:rsidR="007925C1" w:rsidRDefault="00000000">
      <w:pPr>
        <w:pStyle w:val="FirstParagraph"/>
        <w:spacing w:before="0" w:after="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P</m:t>
          </m:r>
          <m:d>
            <m:dPr>
              <m:ctrlPr>
                <w:rPr>
                  <w:rFonts w:ascii="Cambria Math" w:hAnsi="Cambria Math"/>
                </w:rPr>
              </m:ctrlPr>
            </m:dPr>
            <m:e>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e>
          </m:d>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P</m:t>
          </m:r>
          <m:d>
            <m:dPr>
              <m:ctrlPr>
                <w:rPr>
                  <w:rFonts w:ascii="Cambria Math" w:hAnsi="Cambria Math"/>
                </w:rPr>
              </m:ctrlPr>
            </m:dPr>
            <m:e>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e>
          </m:d>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e>
          </m:d>
          <m:r>
            <m:rPr>
              <m:sty m:val="p"/>
            </m:rPr>
            <w:rPr>
              <w:rFonts w:ascii="Cambria Math" w:hAnsi="Cambria Math"/>
            </w:rPr>
            <m:t>.</m:t>
          </m:r>
        </m:oMath>
      </m:oMathPara>
    </w:p>
    <w:p w14:paraId="099D90BC" w14:textId="77777777" w:rsidR="007925C1" w:rsidRDefault="00000000">
      <w:pPr>
        <w:pStyle w:val="FirstParagraph"/>
        <w:spacing w:before="0" w:after="0"/>
      </w:pPr>
      <w:r>
        <w:t xml:space="preserve">Using </w:t>
      </w:r>
      <m:oMath>
        <m:sSub>
          <m:sSubPr>
            <m:ctrlPr>
              <w:rPr>
                <w:rFonts w:ascii="Cambria Math" w:hAnsi="Cambria Math"/>
              </w:rPr>
            </m:ctrlPr>
          </m:sSubPr>
          <m:e>
            <m:r>
              <m:rPr>
                <m:sty m:val="p"/>
              </m:rPr>
              <w:rPr>
                <w:rFonts w:ascii="Cambria Math" w:hAnsi="Cambria Math"/>
              </w:rPr>
              <m:t>TPR</m:t>
            </m:r>
          </m:e>
          <m:sub>
            <m:r>
              <w:rPr>
                <w:rFonts w:ascii="Cambria Math" w:hAnsi="Cambria Math"/>
              </w:rPr>
              <m:t>a</m:t>
            </m:r>
          </m:sub>
        </m:sSub>
        <m:r>
          <m:rPr>
            <m:sty m:val="p"/>
          </m:rPr>
          <w:rPr>
            <w:rFonts w:ascii="Cambria Math" w:hAnsi="Cambria Math"/>
          </w:rPr>
          <m:t>=</m:t>
        </m:r>
        <m:r>
          <w:rPr>
            <w:rFonts w:ascii="Cambria Math" w:hAnsi="Cambria Math"/>
          </w:rPr>
          <m:t>P</m:t>
        </m:r>
        <m:d>
          <m:dPr>
            <m:ctrlPr>
              <w:rPr>
                <w:rFonts w:ascii="Cambria Math" w:hAnsi="Cambria Math"/>
              </w:rPr>
            </m:ctrlPr>
          </m:dPr>
          <m:e>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e>
        </m:d>
      </m:oMath>
      <w:r>
        <w:t xml:space="preserve"> and </w:t>
      </w:r>
      <m:oMath>
        <m:sSub>
          <m:sSubPr>
            <m:ctrlPr>
              <w:rPr>
                <w:rFonts w:ascii="Cambria Math" w:hAnsi="Cambria Math"/>
              </w:rPr>
            </m:ctrlPr>
          </m:sSubPr>
          <m:e>
            <m:r>
              <m:rPr>
                <m:sty m:val="p"/>
              </m:rPr>
              <w:rPr>
                <w:rFonts w:ascii="Cambria Math" w:hAnsi="Cambria Math"/>
              </w:rPr>
              <m:t>FPR</m:t>
            </m:r>
          </m:e>
          <m:sub>
            <m:r>
              <w:rPr>
                <w:rFonts w:ascii="Cambria Math" w:hAnsi="Cambria Math"/>
              </w:rPr>
              <m:t>a</m:t>
            </m:r>
          </m:sub>
        </m:sSub>
        <m:r>
          <m:rPr>
            <m:sty m:val="p"/>
          </m:rPr>
          <w:rPr>
            <w:rFonts w:ascii="Cambria Math" w:hAnsi="Cambria Math"/>
          </w:rPr>
          <m:t>=</m:t>
        </m:r>
        <m:r>
          <w:rPr>
            <w:rFonts w:ascii="Cambria Math" w:hAnsi="Cambria Math"/>
          </w:rPr>
          <m:t>P</m:t>
        </m:r>
        <m:d>
          <m:dPr>
            <m:ctrlPr>
              <w:rPr>
                <w:rFonts w:ascii="Cambria Math" w:hAnsi="Cambria Math"/>
              </w:rPr>
            </m:ctrlPr>
          </m:dPr>
          <m:e>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e>
        </m:d>
      </m:oMath>
      <w:r>
        <w:t>, this becomes</w:t>
      </w:r>
    </w:p>
    <w:p w14:paraId="7CC62FEB" w14:textId="77777777" w:rsidR="007925C1" w:rsidRDefault="00000000">
      <w:pPr>
        <w:pStyle w:val="BodyText"/>
        <w:spacing w:before="0" w:after="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TPR</m:t>
              </m:r>
            </m:e>
            <m:sub>
              <m:r>
                <w:rPr>
                  <w:rFonts w:ascii="Cambria Math" w:hAnsi="Cambria Math"/>
                </w:rPr>
                <m:t>a</m:t>
              </m:r>
            </m:sub>
          </m:sSub>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FPR</m:t>
              </m:r>
            </m:e>
            <m:sub>
              <m:r>
                <w:rPr>
                  <w:rFonts w:ascii="Cambria Math" w:hAnsi="Cambria Math"/>
                </w:rPr>
                <m:t>a</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e>
          </m:d>
          <m:r>
            <m:rPr>
              <m:sty m:val="p"/>
            </m:rPr>
            <w:rPr>
              <w:rFonts w:ascii="Cambria Math" w:hAnsi="Cambria Math"/>
            </w:rPr>
            <m:t>.</m:t>
          </m:r>
        </m:oMath>
      </m:oMathPara>
    </w:p>
    <w:p w14:paraId="5A295057" w14:textId="77777777" w:rsidR="007925C1" w:rsidRDefault="00000000">
      <w:pPr>
        <w:pStyle w:val="FirstParagraph"/>
        <w:spacing w:before="0" w:after="0"/>
      </w:pPr>
      <w:r>
        <w:t xml:space="preserve">Because </w:t>
      </w:r>
      <m:oMath>
        <m:sSub>
          <m:sSubPr>
            <m:ctrlPr>
              <w:rPr>
                <w:rFonts w:ascii="Cambria Math" w:hAnsi="Cambria Math"/>
              </w:rPr>
            </m:ctrlPr>
          </m:sSubPr>
          <m:e>
            <m:r>
              <m:rPr>
                <m:sty m:val="p"/>
              </m:rPr>
              <w:rPr>
                <w:rFonts w:ascii="Cambria Math" w:hAnsi="Cambria Math"/>
              </w:rPr>
              <m:t>TPR</m:t>
            </m:r>
          </m:e>
          <m:sub>
            <m:r>
              <w:rPr>
                <w:rFonts w:ascii="Cambria Math" w:hAnsi="Cambria Math"/>
              </w:rPr>
              <m:t>a</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FNR</m:t>
            </m:r>
          </m:e>
          <m:sub>
            <m:r>
              <w:rPr>
                <w:rFonts w:ascii="Cambria Math" w:hAnsi="Cambria Math"/>
              </w:rPr>
              <m:t>a</m:t>
            </m:r>
          </m:sub>
        </m:sSub>
      </m:oMath>
      <w:r>
        <w:t>,</w:t>
      </w:r>
    </w:p>
    <w:p w14:paraId="7DFC111D" w14:textId="77777777" w:rsidR="007925C1" w:rsidRDefault="00000000">
      <w:pPr>
        <w:pStyle w:val="BodyText"/>
        <w:spacing w:before="0" w:after="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FNR</m:t>
                  </m:r>
                </m:e>
                <m:sub>
                  <m:r>
                    <w:rPr>
                      <w:rFonts w:ascii="Cambria Math" w:hAnsi="Cambria Math"/>
                    </w:rPr>
                    <m:t>a</m:t>
                  </m:r>
                </m:sub>
              </m:sSub>
            </m:e>
          </m:d>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FPR</m:t>
              </m:r>
            </m:e>
            <m:sub>
              <m:r>
                <w:rPr>
                  <w:rFonts w:ascii="Cambria Math" w:hAnsi="Cambria Math"/>
                </w:rPr>
                <m:t>a</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e>
          </m:d>
          <m:r>
            <m:rPr>
              <m:sty m:val="p"/>
            </m:rPr>
            <w:rPr>
              <w:rFonts w:ascii="Cambria Math" w:hAnsi="Cambria Math"/>
            </w:rPr>
            <m:t>.</m:t>
          </m:r>
        </m:oMath>
      </m:oMathPara>
    </w:p>
    <w:p w14:paraId="4A297ADF" w14:textId="77777777" w:rsidR="007925C1" w:rsidRDefault="00000000">
      <w:pPr>
        <w:pStyle w:val="Compact"/>
        <w:numPr>
          <w:ilvl w:val="0"/>
          <w:numId w:val="8"/>
        </w:numPr>
        <w:spacing w:before="0" w:after="0"/>
      </w:pPr>
      <w:r>
        <w:t xml:space="preserve">Now impose FPR parity and FNR parity. Let </w:t>
      </w:r>
      <m:oMath>
        <m:sSub>
          <m:sSubPr>
            <m:ctrlPr>
              <w:rPr>
                <w:rFonts w:ascii="Cambria Math" w:hAnsi="Cambria Math"/>
              </w:rPr>
            </m:ctrlPr>
          </m:sSubPr>
          <m:e>
            <m:r>
              <m:rPr>
                <m:sty m:val="p"/>
              </m:rPr>
              <w:rPr>
                <w:rFonts w:ascii="Cambria Math" w:hAnsi="Cambria Math"/>
              </w:rPr>
              <m:t>FPR</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FPR</m:t>
            </m:r>
          </m:e>
          <m:sub>
            <m:r>
              <w:rPr>
                <w:rFonts w:ascii="Cambria Math" w:hAnsi="Cambria Math"/>
              </w:rPr>
              <m:t>1</m:t>
            </m:r>
          </m:sub>
        </m:sSub>
        <m:r>
          <m:rPr>
            <m:sty m:val="p"/>
          </m:rPr>
          <w:rPr>
            <w:rFonts w:ascii="Cambria Math" w:hAnsi="Cambria Math"/>
          </w:rPr>
          <m:t>=</m:t>
        </m:r>
        <m:r>
          <w:rPr>
            <w:rFonts w:ascii="Cambria Math" w:hAnsi="Cambria Math"/>
          </w:rPr>
          <m:t>f</m:t>
        </m:r>
      </m:oMath>
      <w:r>
        <w:t xml:space="preserve"> and </w:t>
      </w:r>
      <m:oMath>
        <m:sSub>
          <m:sSubPr>
            <m:ctrlPr>
              <w:rPr>
                <w:rFonts w:ascii="Cambria Math" w:hAnsi="Cambria Math"/>
              </w:rPr>
            </m:ctrlPr>
          </m:sSubPr>
          <m:e>
            <m:r>
              <m:rPr>
                <m:sty m:val="p"/>
              </m:rPr>
              <w:rPr>
                <w:rFonts w:ascii="Cambria Math" w:hAnsi="Cambria Math"/>
              </w:rPr>
              <m:t>FNR</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FNR</m:t>
            </m:r>
          </m:e>
          <m:sub>
            <m:r>
              <w:rPr>
                <w:rFonts w:ascii="Cambria Math" w:hAnsi="Cambria Math"/>
              </w:rPr>
              <m:t>1</m:t>
            </m:r>
          </m:sub>
        </m:sSub>
        <m:r>
          <m:rPr>
            <m:sty m:val="p"/>
          </m:rPr>
          <w:rPr>
            <w:rFonts w:ascii="Cambria Math" w:hAnsi="Cambria Math"/>
          </w:rPr>
          <m:t>=</m:t>
        </m:r>
        <m:r>
          <w:rPr>
            <w:rFonts w:ascii="Cambria Math" w:hAnsi="Cambria Math"/>
          </w:rPr>
          <m:t>m</m:t>
        </m:r>
      </m:oMath>
      <w:r>
        <w:t xml:space="preserve">. Then </w:t>
      </w:r>
      <m:oMath>
        <m:sSub>
          <m:sSubPr>
            <m:ctrlPr>
              <w:rPr>
                <w:rFonts w:ascii="Cambria Math" w:hAnsi="Cambria Math"/>
              </w:rPr>
            </m:ctrlPr>
          </m:sSubPr>
          <m:e>
            <m:r>
              <m:rPr>
                <m:sty m:val="p"/>
              </m:rPr>
              <w:rPr>
                <w:rFonts w:ascii="Cambria Math" w:hAnsi="Cambria Math"/>
              </w:rPr>
              <m:t>TPR</m:t>
            </m:r>
          </m:e>
          <m:sub>
            <m:r>
              <w:rPr>
                <w:rFonts w:ascii="Cambria Math" w:hAnsi="Cambria Math"/>
              </w:rPr>
              <m:t>a</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oMath>
      <w:r>
        <w:t>, so</w:t>
      </w:r>
    </w:p>
    <w:p w14:paraId="345BA816" w14:textId="77777777" w:rsidR="007925C1" w:rsidRDefault="00000000">
      <w:pPr>
        <w:pStyle w:val="FirstParagraph"/>
        <w:spacing w:before="0" w:after="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e>
          </m:d>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e>
          </m:d>
          <m:r>
            <m:rPr>
              <m:sty m:val="p"/>
            </m:rPr>
            <w:rPr>
              <w:rFonts w:ascii="Cambria Math" w:hAnsi="Cambria Math"/>
            </w:rPr>
            <m:t>=</m:t>
          </m:r>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f</m:t>
              </m:r>
            </m:e>
          </m:d>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oMath>
      </m:oMathPara>
    </w:p>
    <w:p w14:paraId="3B4C1D1F" w14:textId="77777777" w:rsidR="007925C1" w:rsidRDefault="00000000">
      <w:pPr>
        <w:pStyle w:val="FirstParagraph"/>
        <w:spacing w:before="0" w:after="0"/>
      </w:pPr>
      <w:r>
        <w:t xml:space="preserve">If </w:t>
      </w: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and the classifier is non-trivial, then </w:t>
      </w:r>
      <m:oMath>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oMath>
      <w:r>
        <w:t xml:space="preserve">, so the coefficient on </w:t>
      </w:r>
      <m:oMath>
        <m:sSub>
          <m:sSubPr>
            <m:ctrlPr>
              <w:rPr>
                <w:rFonts w:ascii="Cambria Math" w:hAnsi="Cambria Math"/>
              </w:rPr>
            </m:ctrlPr>
          </m:sSubPr>
          <m:e>
            <m:r>
              <w:rPr>
                <w:rFonts w:ascii="Cambria Math" w:hAnsi="Cambria Math"/>
              </w:rPr>
              <m:t>p</m:t>
            </m:r>
          </m:e>
          <m:sub>
            <m:r>
              <w:rPr>
                <w:rFonts w:ascii="Cambria Math" w:hAnsi="Cambria Math"/>
              </w:rPr>
              <m:t>a</m:t>
            </m:r>
          </m:sub>
        </m:sSub>
      </m:oMath>
      <w:r>
        <w:t xml:space="preserve"> is non-zero. Therefore,</w:t>
      </w:r>
    </w:p>
    <w:p w14:paraId="720612E3" w14:textId="77777777" w:rsidR="007925C1" w:rsidRDefault="00000000">
      <w:pPr>
        <w:pStyle w:val="BodyText"/>
        <w:spacing w:before="0" w:after="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oMath>
      </m:oMathPara>
    </w:p>
    <w:p w14:paraId="6E0F8C7E" w14:textId="77777777" w:rsidR="007925C1" w:rsidRDefault="00000000">
      <w:pPr>
        <w:pStyle w:val="FirstParagraph"/>
        <w:spacing w:before="0" w:after="0"/>
      </w:pPr>
      <w:r>
        <w:t>Thus, when base rates differ, equal FPR and equal FNR already imply different selection rates across groups.</w:t>
      </w:r>
    </w:p>
    <w:p w14:paraId="658DAB8B" w14:textId="77777777" w:rsidR="007925C1" w:rsidRDefault="00000000">
      <w:pPr>
        <w:pStyle w:val="Compact"/>
        <w:numPr>
          <w:ilvl w:val="0"/>
          <w:numId w:val="9"/>
        </w:numPr>
        <w:spacing w:before="0" w:after="0"/>
      </w:pPr>
      <w:r>
        <w:lastRenderedPageBreak/>
        <w:t xml:space="preserve">Next impose calibration. For a thresholded binary decision rule derived from a calibrated score, calibration implies predictive parity at the positive decision margin, so the positive predictive value must agree across groups. Let that common value be </w:t>
      </w:r>
      <m:oMath>
        <m:r>
          <w:rPr>
            <w:rFonts w:ascii="Cambria Math" w:hAnsi="Cambria Math"/>
          </w:rPr>
          <m:t>v</m:t>
        </m:r>
      </m:oMath>
      <w:r>
        <w:t>:</w:t>
      </w:r>
    </w:p>
    <w:p w14:paraId="06FAD163" w14:textId="77777777" w:rsidR="007925C1" w:rsidRDefault="00000000">
      <w:pPr>
        <w:pStyle w:val="FirstParagraph"/>
        <w:spacing w:before="0" w:after="0"/>
      </w:pPr>
      <m:oMathPara>
        <m:oMathParaPr>
          <m:jc m:val="center"/>
        </m:oMathParaPr>
        <m:oMath>
          <m:sSub>
            <m:sSubPr>
              <m:ctrlPr>
                <w:rPr>
                  <w:rFonts w:ascii="Cambria Math" w:hAnsi="Cambria Math"/>
                </w:rPr>
              </m:ctrlPr>
            </m:sSubPr>
            <m:e>
              <m:r>
                <m:rPr>
                  <m:sty m:val="p"/>
                </m:rPr>
                <w:rPr>
                  <w:rFonts w:ascii="Cambria Math" w:hAnsi="Cambria Math"/>
                </w:rPr>
                <m:t>PPV</m:t>
              </m:r>
            </m:e>
            <m:sub>
              <m:r>
                <w:rPr>
                  <w:rFonts w:ascii="Cambria Math" w:hAnsi="Cambria Math"/>
                </w:rPr>
                <m:t>a</m:t>
              </m:r>
            </m:sub>
          </m:sSub>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v</m:t>
          </m:r>
          <m:r>
            <m:rPr>
              <m:sty m:val="p"/>
            </m:rPr>
            <w:rPr>
              <w:rFonts w:ascii="Cambria Math" w:hAnsi="Cambria Math"/>
            </w:rPr>
            <m:t>.</m:t>
          </m:r>
        </m:oMath>
      </m:oMathPara>
    </w:p>
    <w:p w14:paraId="5F3F66EE" w14:textId="77777777" w:rsidR="007925C1" w:rsidRDefault="00000000">
      <w:pPr>
        <w:pStyle w:val="FirstParagraph"/>
        <w:spacing w:before="0" w:after="0"/>
      </w:pPr>
      <w:r>
        <w:t>By Bayes’ rule,</w:t>
      </w:r>
    </w:p>
    <w:p w14:paraId="1E5C997F" w14:textId="77777777" w:rsidR="007925C1" w:rsidRDefault="00000000">
      <w:pPr>
        <w:pStyle w:val="BodyText"/>
        <w:spacing w:before="0" w:after="0"/>
      </w:pPr>
      <m:oMathPara>
        <m:oMathParaPr>
          <m:jc m:val="center"/>
        </m:oMathParaPr>
        <m:oMath>
          <m:sSub>
            <m:sSubPr>
              <m:ctrlPr>
                <w:rPr>
                  <w:rFonts w:ascii="Cambria Math" w:hAnsi="Cambria Math"/>
                </w:rPr>
              </m:ctrlPr>
            </m:sSubPr>
            <m:e>
              <m:r>
                <m:rPr>
                  <m:sty m:val="p"/>
                </m:rPr>
                <w:rPr>
                  <w:rFonts w:ascii="Cambria Math" w:hAnsi="Cambria Math"/>
                </w:rPr>
                <m:t>PPV</m:t>
              </m:r>
            </m:e>
            <m:sub>
              <m:r>
                <w:rPr>
                  <w:rFonts w:ascii="Cambria Math" w:hAnsi="Cambria Math"/>
                </w:rPr>
                <m:t>a</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TPR</m:t>
                  </m:r>
                </m:e>
                <m:sub>
                  <m:r>
                    <w:rPr>
                      <w:rFonts w:ascii="Cambria Math" w:hAnsi="Cambria Math"/>
                    </w:rPr>
                    <m:t>a</m:t>
                  </m:r>
                </m:sub>
              </m:sSub>
              <m:sSub>
                <m:sSubPr>
                  <m:ctrlPr>
                    <w:rPr>
                      <w:rFonts w:ascii="Cambria Math" w:hAnsi="Cambria Math"/>
                    </w:rPr>
                  </m:ctrlPr>
                </m:sSubPr>
                <m:e>
                  <m:r>
                    <w:rPr>
                      <w:rFonts w:ascii="Cambria Math" w:hAnsi="Cambria Math"/>
                    </w:rPr>
                    <m:t>p</m:t>
                  </m:r>
                </m:e>
                <m:sub>
                  <m:r>
                    <w:rPr>
                      <w:rFonts w:ascii="Cambria Math" w:hAnsi="Cambria Math"/>
                    </w:rPr>
                    <m:t>a</m:t>
                  </m:r>
                </m:sub>
              </m:sSub>
            </m:num>
            <m:den>
              <m:sSub>
                <m:sSubPr>
                  <m:ctrlPr>
                    <w:rPr>
                      <w:rFonts w:ascii="Cambria Math" w:hAnsi="Cambria Math"/>
                    </w:rPr>
                  </m:ctrlPr>
                </m:sSubPr>
                <m:e>
                  <m:r>
                    <w:rPr>
                      <w:rFonts w:ascii="Cambria Math" w:hAnsi="Cambria Math"/>
                    </w:rPr>
                    <m:t>r</m:t>
                  </m:r>
                </m:e>
                <m:sub>
                  <m:r>
                    <w:rPr>
                      <w:rFonts w:ascii="Cambria Math" w:hAnsi="Cambria Math"/>
                    </w:rPr>
                    <m:t>a</m:t>
                  </m:r>
                </m:sub>
              </m:sSub>
            </m:den>
          </m:f>
          <m:r>
            <m:rPr>
              <m:sty m:val="p"/>
            </m:rPr>
            <w:rPr>
              <w:rFonts w:ascii="Cambria Math" w:hAnsi="Cambria Math"/>
            </w:rPr>
            <m:t>=</m:t>
          </m:r>
          <m:r>
            <w:rPr>
              <w:rFonts w:ascii="Cambria Math" w:hAnsi="Cambria Math"/>
            </w:rPr>
            <m:t>v</m:t>
          </m:r>
          <m:r>
            <m:rPr>
              <m:sty m:val="p"/>
            </m:rPr>
            <w:rPr>
              <w:rFonts w:ascii="Cambria Math" w:hAnsi="Cambria Math"/>
            </w:rPr>
            <m:t>,</m:t>
          </m:r>
        </m:oMath>
      </m:oMathPara>
    </w:p>
    <w:p w14:paraId="6179593A" w14:textId="77777777" w:rsidR="007925C1" w:rsidRDefault="00000000">
      <w:pPr>
        <w:pStyle w:val="FirstParagraph"/>
        <w:spacing w:before="0" w:after="0"/>
      </w:pPr>
      <w:r>
        <w:t>which implies</w:t>
      </w:r>
    </w:p>
    <w:p w14:paraId="0760F9D7" w14:textId="77777777" w:rsidR="007925C1" w:rsidRDefault="00000000">
      <w:pPr>
        <w:pStyle w:val="BodyText"/>
        <w:spacing w:before="0" w:after="0"/>
      </w:pPr>
      <m:oMathPara>
        <m:oMathParaPr>
          <m:jc m:val="center"/>
        </m:oMathParaPr>
        <m:oMath>
          <m:sSub>
            <m:sSubPr>
              <m:ctrlPr>
                <w:rPr>
                  <w:rFonts w:ascii="Cambria Math" w:hAnsi="Cambria Math"/>
                </w:rPr>
              </m:ctrlPr>
            </m:sSubPr>
            <m:e>
              <m:r>
                <m:rPr>
                  <m:sty m:val="p"/>
                </m:rPr>
                <w:rPr>
                  <w:rFonts w:ascii="Cambria Math" w:hAnsi="Cambria Math"/>
                </w:rPr>
                <m:t>TPR</m:t>
              </m:r>
            </m:e>
            <m:sub>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v</m:t>
              </m:r>
              <m:sSub>
                <m:sSubPr>
                  <m:ctrlPr>
                    <w:rPr>
                      <w:rFonts w:ascii="Cambria Math" w:hAnsi="Cambria Math"/>
                    </w:rPr>
                  </m:ctrlPr>
                </m:sSubPr>
                <m:e>
                  <m:r>
                    <w:rPr>
                      <w:rFonts w:ascii="Cambria Math" w:hAnsi="Cambria Math"/>
                    </w:rPr>
                    <m:t>r</m:t>
                  </m:r>
                </m:e>
                <m:sub>
                  <m:r>
                    <w:rPr>
                      <w:rFonts w:ascii="Cambria Math" w:hAnsi="Cambria Math"/>
                    </w:rPr>
                    <m:t>a</m:t>
                  </m:r>
                </m:sub>
              </m:sSub>
            </m:num>
            <m:den>
              <m:sSub>
                <m:sSubPr>
                  <m:ctrlPr>
                    <w:rPr>
                      <w:rFonts w:ascii="Cambria Math" w:hAnsi="Cambria Math"/>
                    </w:rPr>
                  </m:ctrlPr>
                </m:sSubPr>
                <m:e>
                  <m:r>
                    <w:rPr>
                      <w:rFonts w:ascii="Cambria Math" w:hAnsi="Cambria Math"/>
                    </w:rPr>
                    <m:t>p</m:t>
                  </m:r>
                </m:e>
                <m:sub>
                  <m:r>
                    <w:rPr>
                      <w:rFonts w:ascii="Cambria Math" w:hAnsi="Cambria Math"/>
                    </w:rPr>
                    <m:t>a</m:t>
                  </m:r>
                </m:sub>
              </m:sSub>
            </m:den>
          </m:f>
          <m:r>
            <w:rPr>
              <w:rFonts w:ascii="Cambria Math" w:hAnsi="Cambria Math"/>
            </w:rPr>
            <m:t> </m:t>
          </m:r>
          <m:r>
            <m:rPr>
              <m:nor/>
            </m:rPr>
            <m:t>and</m:t>
          </m:r>
          <m:r>
            <w:rPr>
              <w:rFonts w:ascii="Cambria Math" w:hAnsi="Cambria Math"/>
            </w:rPr>
            <m:t> </m:t>
          </m:r>
          <m:sSub>
            <m:sSubPr>
              <m:ctrlPr>
                <w:rPr>
                  <w:rFonts w:ascii="Cambria Math" w:hAnsi="Cambria Math"/>
                </w:rPr>
              </m:ctrlPr>
            </m:sSubPr>
            <m:e>
              <m:r>
                <m:rPr>
                  <m:sty m:val="p"/>
                </m:rPr>
                <w:rPr>
                  <w:rFonts w:ascii="Cambria Math" w:hAnsi="Cambria Math"/>
                </w:rPr>
                <m:t>FNR</m:t>
              </m:r>
            </m:e>
            <m:sub>
              <m:r>
                <w:rPr>
                  <w:rFonts w:ascii="Cambria Math" w:hAnsi="Cambria Math"/>
                </w:rPr>
                <m:t>a</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v</m:t>
              </m:r>
              <m:sSub>
                <m:sSubPr>
                  <m:ctrlPr>
                    <w:rPr>
                      <w:rFonts w:ascii="Cambria Math" w:hAnsi="Cambria Math"/>
                    </w:rPr>
                  </m:ctrlPr>
                </m:sSubPr>
                <m:e>
                  <m:r>
                    <w:rPr>
                      <w:rFonts w:ascii="Cambria Math" w:hAnsi="Cambria Math"/>
                    </w:rPr>
                    <m:t>r</m:t>
                  </m:r>
                </m:e>
                <m:sub>
                  <m:r>
                    <w:rPr>
                      <w:rFonts w:ascii="Cambria Math" w:hAnsi="Cambria Math"/>
                    </w:rPr>
                    <m:t>a</m:t>
                  </m:r>
                </m:sub>
              </m:sSub>
            </m:num>
            <m:den>
              <m:sSub>
                <m:sSubPr>
                  <m:ctrlPr>
                    <w:rPr>
                      <w:rFonts w:ascii="Cambria Math" w:hAnsi="Cambria Math"/>
                    </w:rPr>
                  </m:ctrlPr>
                </m:sSubPr>
                <m:e>
                  <m:r>
                    <w:rPr>
                      <w:rFonts w:ascii="Cambria Math" w:hAnsi="Cambria Math"/>
                    </w:rPr>
                    <m:t>p</m:t>
                  </m:r>
                </m:e>
                <m:sub>
                  <m:r>
                    <w:rPr>
                      <w:rFonts w:ascii="Cambria Math" w:hAnsi="Cambria Math"/>
                    </w:rPr>
                    <m:t>a</m:t>
                  </m:r>
                </m:sub>
              </m:sSub>
            </m:den>
          </m:f>
          <m:r>
            <m:rPr>
              <m:sty m:val="p"/>
            </m:rPr>
            <w:rPr>
              <w:rFonts w:ascii="Cambria Math" w:hAnsi="Cambria Math"/>
            </w:rPr>
            <m:t>.</m:t>
          </m:r>
        </m:oMath>
      </m:oMathPara>
    </w:p>
    <w:p w14:paraId="2E5D5292" w14:textId="77777777" w:rsidR="007925C1" w:rsidRDefault="00000000">
      <w:pPr>
        <w:pStyle w:val="FirstParagraph"/>
        <w:spacing w:before="0" w:after="0"/>
      </w:pPr>
      <w:r>
        <w:t>FNR parity therefore requires</w:t>
      </w:r>
    </w:p>
    <w:p w14:paraId="4D357DFC" w14:textId="77777777" w:rsidR="007925C1" w:rsidRDefault="00000000">
      <w:pPr>
        <w:pStyle w:val="BodyText"/>
        <w:spacing w:before="0" w:after="0"/>
      </w:pPr>
      <m:oMathPara>
        <m:oMathParaPr>
          <m:jc m:val="center"/>
        </m:oMathParaPr>
        <m:oMath>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v</m:t>
              </m:r>
              <m:sSub>
                <m:sSubPr>
                  <m:ctrlPr>
                    <w:rPr>
                      <w:rFonts w:ascii="Cambria Math" w:hAnsi="Cambria Math"/>
                    </w:rPr>
                  </m:ctrlPr>
                </m:sSubPr>
                <m:e>
                  <m:r>
                    <w:rPr>
                      <w:rFonts w:ascii="Cambria Math" w:hAnsi="Cambria Math"/>
                    </w:rPr>
                    <m:t>r</m:t>
                  </m:r>
                </m:e>
                <m:sub>
                  <m:r>
                    <w:rPr>
                      <w:rFonts w:ascii="Cambria Math" w:hAnsi="Cambria Math"/>
                    </w:rPr>
                    <m:t>0</m:t>
                  </m:r>
                </m:sub>
              </m:sSub>
            </m:num>
            <m:den>
              <m:sSub>
                <m:sSubPr>
                  <m:ctrlPr>
                    <w:rPr>
                      <w:rFonts w:ascii="Cambria Math" w:hAnsi="Cambria Math"/>
                    </w:rPr>
                  </m:ctrlPr>
                </m:sSubPr>
                <m:e>
                  <m:r>
                    <w:rPr>
                      <w:rFonts w:ascii="Cambria Math" w:hAnsi="Cambria Math"/>
                    </w:rPr>
                    <m:t>p</m:t>
                  </m:r>
                </m:e>
                <m:sub>
                  <m:r>
                    <w:rPr>
                      <w:rFonts w:ascii="Cambria Math" w:hAnsi="Cambria Math"/>
                    </w:rPr>
                    <m:t>0</m:t>
                  </m:r>
                </m:sub>
              </m:sSub>
            </m:den>
          </m:f>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v</m:t>
              </m:r>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1</m:t>
                  </m:r>
                </m:sub>
              </m:sSub>
            </m:den>
          </m:f>
          <m:r>
            <m:rPr>
              <m:sty m:val="p"/>
            </m:rPr>
            <w:rPr>
              <w:rFonts w:ascii="Cambria Math" w:hAnsi="Cambria Math"/>
            </w:rPr>
            <m:t>,</m:t>
          </m:r>
        </m:oMath>
      </m:oMathPara>
    </w:p>
    <w:p w14:paraId="182F0950" w14:textId="77777777" w:rsidR="007925C1" w:rsidRDefault="00000000">
      <w:pPr>
        <w:pStyle w:val="FirstParagraph"/>
        <w:spacing w:before="0" w:after="0"/>
      </w:pPr>
      <w:r>
        <w:t>so</w:t>
      </w:r>
    </w:p>
    <w:p w14:paraId="5F84F097" w14:textId="77777777" w:rsidR="007925C1" w:rsidRDefault="00000000">
      <w:pPr>
        <w:pStyle w:val="BodyText"/>
        <w:spacing w:before="0" w:after="0"/>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0</m:t>
                  </m:r>
                </m:sub>
              </m:sSub>
            </m:num>
            <m:den>
              <m:sSub>
                <m:sSubPr>
                  <m:ctrlPr>
                    <w:rPr>
                      <w:rFonts w:ascii="Cambria Math" w:hAnsi="Cambria Math"/>
                    </w:rPr>
                  </m:ctrlPr>
                </m:sSubPr>
                <m:e>
                  <m:r>
                    <w:rPr>
                      <w:rFonts w:ascii="Cambria Math" w:hAnsi="Cambria Math"/>
                    </w:rPr>
                    <m:t>p</m:t>
                  </m:r>
                </m:e>
                <m:sub>
                  <m:r>
                    <w:rPr>
                      <w:rFonts w:ascii="Cambria Math" w:hAnsi="Cambria Math"/>
                    </w:rPr>
                    <m:t>0</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1</m:t>
                  </m:r>
                </m:sub>
              </m:sSub>
            </m:den>
          </m:f>
          <m:r>
            <m:rPr>
              <m:sty m:val="p"/>
            </m:rPr>
            <w:rPr>
              <w:rFonts w:ascii="Cambria Math" w:hAnsi="Cambria Math"/>
            </w:rPr>
            <m:t>.</m:t>
          </m:r>
        </m:oMath>
      </m:oMathPara>
    </w:p>
    <w:p w14:paraId="0A0EC958" w14:textId="77777777" w:rsidR="007925C1" w:rsidRDefault="00000000">
      <w:pPr>
        <w:pStyle w:val="FirstParagraph"/>
        <w:spacing w:before="0" w:after="0"/>
      </w:pPr>
      <w:r>
        <w:t xml:space="preserve">Substituting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f</m:t>
            </m:r>
          </m:e>
        </m:d>
        <m:sSub>
          <m:sSubPr>
            <m:ctrlPr>
              <w:rPr>
                <w:rFonts w:ascii="Cambria Math" w:hAnsi="Cambria Math"/>
              </w:rPr>
            </m:ctrlPr>
          </m:sSubPr>
          <m:e>
            <m:r>
              <w:rPr>
                <w:rFonts w:ascii="Cambria Math" w:hAnsi="Cambria Math"/>
              </w:rPr>
              <m:t>p</m:t>
            </m:r>
          </m:e>
          <m:sub>
            <m:r>
              <w:rPr>
                <w:rFonts w:ascii="Cambria Math" w:hAnsi="Cambria Math"/>
              </w:rPr>
              <m:t>a</m:t>
            </m:r>
          </m:sub>
        </m:sSub>
      </m:oMath>
      <w:r>
        <w:t xml:space="preserve"> gives</w:t>
      </w:r>
    </w:p>
    <w:p w14:paraId="744EEB70" w14:textId="77777777" w:rsidR="007925C1" w:rsidRDefault="00000000">
      <w:pPr>
        <w:pStyle w:val="BodyText"/>
        <w:spacing w:before="0" w:after="0"/>
      </w:pPr>
      <m:oMathPara>
        <m:oMathParaPr>
          <m:jc m:val="center"/>
        </m:oMathParaPr>
        <m:oMath>
          <m:f>
            <m:fPr>
              <m:ctrlPr>
                <w:rPr>
                  <w:rFonts w:ascii="Cambria Math" w:hAnsi="Cambria Math"/>
                </w:rPr>
              </m:ctrlPr>
            </m:fPr>
            <m:num>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f</m:t>
                  </m:r>
                </m:e>
              </m:d>
              <m:sSub>
                <m:sSubPr>
                  <m:ctrlPr>
                    <w:rPr>
                      <w:rFonts w:ascii="Cambria Math" w:hAnsi="Cambria Math"/>
                    </w:rPr>
                  </m:ctrlPr>
                </m:sSubPr>
                <m:e>
                  <m:r>
                    <w:rPr>
                      <w:rFonts w:ascii="Cambria Math" w:hAnsi="Cambria Math"/>
                    </w:rPr>
                    <m:t>p</m:t>
                  </m:r>
                </m:e>
                <m:sub>
                  <m:r>
                    <w:rPr>
                      <w:rFonts w:ascii="Cambria Math" w:hAnsi="Cambria Math"/>
                    </w:rPr>
                    <m:t>0</m:t>
                  </m:r>
                </m:sub>
              </m:sSub>
            </m:num>
            <m:den>
              <m:sSub>
                <m:sSubPr>
                  <m:ctrlPr>
                    <w:rPr>
                      <w:rFonts w:ascii="Cambria Math" w:hAnsi="Cambria Math"/>
                    </w:rPr>
                  </m:ctrlPr>
                </m:sSubPr>
                <m:e>
                  <m:r>
                    <w:rPr>
                      <w:rFonts w:ascii="Cambria Math" w:hAnsi="Cambria Math"/>
                    </w:rPr>
                    <m:t>p</m:t>
                  </m:r>
                </m:e>
                <m:sub>
                  <m:r>
                    <w:rPr>
                      <w:rFonts w:ascii="Cambria Math" w:hAnsi="Cambria Math"/>
                    </w:rPr>
                    <m:t>0</m:t>
                  </m:r>
                </m:sub>
              </m:sSub>
            </m:den>
          </m:f>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f</m:t>
                  </m:r>
                </m:e>
              </m:d>
              <m:sSub>
                <m:sSubPr>
                  <m:ctrlPr>
                    <w:rPr>
                      <w:rFonts w:ascii="Cambria Math" w:hAnsi="Cambria Math"/>
                    </w:rPr>
                  </m:ctrlPr>
                </m:sSubPr>
                <m:e>
                  <m:r>
                    <w:rPr>
                      <w:rFonts w:ascii="Cambria Math" w:hAnsi="Cambria Math"/>
                    </w:rPr>
                    <m:t>p</m:t>
                  </m:r>
                </m:e>
                <m:sub>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1</m:t>
                  </m:r>
                </m:sub>
              </m:sSub>
            </m:den>
          </m:f>
          <m:r>
            <m:rPr>
              <m:sty m:val="p"/>
            </m:rPr>
            <w:rPr>
              <w:rFonts w:ascii="Cambria Math" w:hAnsi="Cambria Math"/>
            </w:rPr>
            <m:t>.</m:t>
          </m:r>
        </m:oMath>
      </m:oMathPara>
    </w:p>
    <w:p w14:paraId="12AB29EA" w14:textId="77777777" w:rsidR="007925C1" w:rsidRDefault="00000000">
      <w:pPr>
        <w:pStyle w:val="FirstParagraph"/>
        <w:spacing w:before="0" w:after="0"/>
      </w:pPr>
      <w:r>
        <w:t xml:space="preserve">The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f</m:t>
            </m:r>
          </m:e>
        </m:d>
      </m:oMath>
      <w:r>
        <w:t xml:space="preserve"> terms cancel, leaving</w:t>
      </w:r>
    </w:p>
    <w:p w14:paraId="4B73C402" w14:textId="77777777" w:rsidR="007925C1" w:rsidRDefault="00000000">
      <w:pPr>
        <w:pStyle w:val="BodyText"/>
        <w:spacing w:before="0" w:after="0"/>
      </w:pPr>
      <m:oMathPara>
        <m:oMathParaPr>
          <m:jc m:val="center"/>
        </m:oMathParaPr>
        <m:oMath>
          <m:f>
            <m:fPr>
              <m:ctrlPr>
                <w:rPr>
                  <w:rFonts w:ascii="Cambria Math" w:hAnsi="Cambria Math"/>
                </w:rPr>
              </m:ctrlPr>
            </m:fPr>
            <m:num>
              <m:r>
                <w:rPr>
                  <w:rFonts w:ascii="Cambria Math" w:hAnsi="Cambria Math"/>
                </w:rPr>
                <m:t>f</m:t>
              </m:r>
            </m:num>
            <m:den>
              <m:sSub>
                <m:sSubPr>
                  <m:ctrlPr>
                    <w:rPr>
                      <w:rFonts w:ascii="Cambria Math" w:hAnsi="Cambria Math"/>
                    </w:rPr>
                  </m:ctrlPr>
                </m:sSubPr>
                <m:e>
                  <m:r>
                    <w:rPr>
                      <w:rFonts w:ascii="Cambria Math" w:hAnsi="Cambria Math"/>
                    </w:rPr>
                    <m:t>p</m:t>
                  </m:r>
                </m:e>
                <m:sub>
                  <m:r>
                    <w:rPr>
                      <w:rFonts w:ascii="Cambria Math" w:hAnsi="Cambria Math"/>
                    </w:rPr>
                    <m:t>0</m:t>
                  </m:r>
                </m:sub>
              </m:sSub>
            </m:den>
          </m:f>
          <m:r>
            <m:rPr>
              <m:sty m:val="p"/>
            </m:rPr>
            <w:rPr>
              <w:rFonts w:ascii="Cambria Math" w:hAnsi="Cambria Math"/>
            </w:rPr>
            <m:t>=</m:t>
          </m:r>
          <m:f>
            <m:fPr>
              <m:ctrlPr>
                <w:rPr>
                  <w:rFonts w:ascii="Cambria Math" w:hAnsi="Cambria Math"/>
                </w:rPr>
              </m:ctrlPr>
            </m:fPr>
            <m:num>
              <m:r>
                <w:rPr>
                  <w:rFonts w:ascii="Cambria Math" w:hAnsi="Cambria Math"/>
                </w:rPr>
                <m:t>f</m:t>
              </m:r>
            </m:num>
            <m:den>
              <m:sSub>
                <m:sSubPr>
                  <m:ctrlPr>
                    <w:rPr>
                      <w:rFonts w:ascii="Cambria Math" w:hAnsi="Cambria Math"/>
                    </w:rPr>
                  </m:ctrlPr>
                </m:sSubPr>
                <m:e>
                  <m:r>
                    <w:rPr>
                      <w:rFonts w:ascii="Cambria Math" w:hAnsi="Cambria Math"/>
                    </w:rPr>
                    <m:t>p</m:t>
                  </m:r>
                </m:e>
                <m:sub>
                  <m:r>
                    <w:rPr>
                      <w:rFonts w:ascii="Cambria Math" w:hAnsi="Cambria Math"/>
                    </w:rPr>
                    <m:t>1</m:t>
                  </m:r>
                </m:sub>
              </m:sSub>
            </m:den>
          </m:f>
          <m:r>
            <m:rPr>
              <m:sty m:val="p"/>
            </m:rPr>
            <w:rPr>
              <w:rFonts w:ascii="Cambria Math" w:hAnsi="Cambria Math"/>
            </w:rPr>
            <m:t>.</m:t>
          </m:r>
        </m:oMath>
      </m:oMathPara>
    </w:p>
    <w:p w14:paraId="33335DF0" w14:textId="77777777" w:rsidR="007925C1" w:rsidRDefault="00000000">
      <w:pPr>
        <w:pStyle w:val="FirstParagraph"/>
        <w:spacing w:before="0" w:after="0"/>
      </w:pPr>
      <w:r>
        <w:t xml:space="preserve">Since </w:t>
      </w: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this equality can hold only if </w:t>
      </w:r>
      <m:oMath>
        <m:r>
          <w:rPr>
            <w:rFonts w:ascii="Cambria Math" w:hAnsi="Cambria Math"/>
          </w:rPr>
          <m:t>f</m:t>
        </m:r>
        <m:r>
          <m:rPr>
            <m:sty m:val="p"/>
          </m:rPr>
          <w:rPr>
            <w:rFonts w:ascii="Cambria Math" w:hAnsi="Cambria Math"/>
          </w:rPr>
          <m:t>=</m:t>
        </m:r>
        <m:r>
          <w:rPr>
            <w:rFonts w:ascii="Cambria Math" w:hAnsi="Cambria Math"/>
          </w:rPr>
          <m:t>0</m:t>
        </m:r>
      </m:oMath>
      <w:r>
        <w:t>. That leaves only degenerate edge cases, such as a perfect classifier or a highly restricted classifier with no false positives. Therefore, no non-trivial classifier can simultaneously satisfy calibration, FPR parity, and FNR parity when base rates differ.</w:t>
      </w:r>
    </w:p>
    <w:p w14:paraId="54A79887" w14:textId="77777777" w:rsidR="007925C1" w:rsidRDefault="00000000">
      <w:pPr>
        <w:pStyle w:val="Compact"/>
        <w:numPr>
          <w:ilvl w:val="0"/>
          <w:numId w:val="10"/>
        </w:numPr>
        <w:spacing w:before="0" w:after="0"/>
      </w:pPr>
      <w:r>
        <w:t>This is exactly the lecture’s impossibility result: when group prevalences differ, at most two of the three conditions can hold simultaneously. The conflict is structural, not merely a modeling mistake.</w:t>
      </w:r>
    </w:p>
    <w:p w14:paraId="3C9352CD" w14:textId="77777777" w:rsidR="007925C1" w:rsidRDefault="00000000">
      <w:pPr>
        <w:pStyle w:val="FirstParagraph"/>
        <w:spacing w:before="0" w:after="0"/>
      </w:pPr>
      <w:r>
        <w:rPr>
          <w:b/>
          <w:bCs/>
        </w:rPr>
        <w:t>Question C)</w:t>
      </w:r>
    </w:p>
    <w:p w14:paraId="7ADC618E" w14:textId="77777777" w:rsidR="007925C1" w:rsidRDefault="00000000">
      <w:pPr>
        <w:pStyle w:val="Compact"/>
        <w:numPr>
          <w:ilvl w:val="0"/>
          <w:numId w:val="11"/>
        </w:numPr>
        <w:spacing w:before="0" w:after="0"/>
      </w:pPr>
      <w:r>
        <w:t>Apply the impossibility result to the COMPAS empirical findings from Lecture 01. Which criterion did COMPAS satisfy? Which did it violate?</w:t>
      </w:r>
    </w:p>
    <w:p w14:paraId="13F10C09" w14:textId="77777777" w:rsidR="007925C1" w:rsidRDefault="00000000">
      <w:pPr>
        <w:numPr>
          <w:ilvl w:val="0"/>
          <w:numId w:val="12"/>
        </w:numPr>
        <w:spacing w:after="0"/>
      </w:pPr>
      <w:r>
        <w:rPr>
          <w:b/>
          <w:bCs/>
        </w:rPr>
        <w:t>What COMPAS satisfied: calibration (predictive parity).</w:t>
      </w:r>
      <w:r>
        <w:t xml:space="preserve"> The lecture notes state that COMPAS’s risk scores were approximately calibrated across racial groups. In other words, for a given score level, the estimated probability of recidivism was roughly the same for Black and white defendants.</w:t>
      </w:r>
    </w:p>
    <w:p w14:paraId="2167776F" w14:textId="77777777" w:rsidR="007925C1" w:rsidRDefault="00000000">
      <w:pPr>
        <w:numPr>
          <w:ilvl w:val="0"/>
          <w:numId w:val="12"/>
        </w:numPr>
        <w:spacing w:after="0"/>
      </w:pPr>
      <w:r>
        <w:rPr>
          <w:b/>
          <w:bCs/>
        </w:rPr>
        <w:t>What COMPAS violated: FPR parity and FNR parity.</w:t>
      </w:r>
      <w:r>
        <w:t xml:space="preserve"> The lecture’s empirical pattern reports that</w:t>
      </w:r>
    </w:p>
    <w:p w14:paraId="195D9FB7" w14:textId="77777777" w:rsidR="007925C1" w:rsidRDefault="00000000">
      <w:pPr>
        <w:pStyle w:val="FirstParagraph"/>
        <w:spacing w:before="0" w:after="0"/>
      </w:pPr>
      <m:oMathPara>
        <m:oMathParaPr>
          <m:jc m:val="center"/>
        </m:oMathParaPr>
        <m:oMath>
          <m:sSub>
            <m:sSubPr>
              <m:ctrlPr>
                <w:rPr>
                  <w:rFonts w:ascii="Cambria Math" w:hAnsi="Cambria Math"/>
                </w:rPr>
              </m:ctrlPr>
            </m:sSubPr>
            <m:e>
              <m:r>
                <m:rPr>
                  <m:sty m:val="p"/>
                </m:rPr>
                <w:rPr>
                  <w:rFonts w:ascii="Cambria Math" w:hAnsi="Cambria Math"/>
                </w:rPr>
                <m:t>FPR</m:t>
              </m:r>
            </m:e>
            <m:sub>
              <m:r>
                <w:rPr>
                  <w:rFonts w:ascii="Cambria Math" w:hAnsi="Cambria Math"/>
                </w:rPr>
                <m:t>Black</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FPR</m:t>
              </m:r>
            </m:e>
            <m:sub>
              <m:r>
                <w:rPr>
                  <w:rFonts w:ascii="Cambria Math" w:hAnsi="Cambria Math"/>
                </w:rPr>
                <m:t>White</m:t>
              </m:r>
            </m:sub>
          </m:sSub>
        </m:oMath>
      </m:oMathPara>
    </w:p>
    <w:p w14:paraId="37C4E069" w14:textId="77777777" w:rsidR="007925C1" w:rsidRDefault="00000000">
      <w:pPr>
        <w:pStyle w:val="FirstParagraph"/>
        <w:spacing w:before="0" w:after="0"/>
      </w:pPr>
      <w:r>
        <w:t>and</w:t>
      </w:r>
    </w:p>
    <w:p w14:paraId="16E1E713" w14:textId="77777777" w:rsidR="007925C1" w:rsidRDefault="00000000">
      <w:pPr>
        <w:pStyle w:val="BodyText"/>
        <w:spacing w:before="0" w:after="0"/>
      </w:pPr>
      <m:oMathPara>
        <m:oMathParaPr>
          <m:jc m:val="center"/>
        </m:oMathParaPr>
        <m:oMath>
          <m:sSub>
            <m:sSubPr>
              <m:ctrlPr>
                <w:rPr>
                  <w:rFonts w:ascii="Cambria Math" w:hAnsi="Cambria Math"/>
                </w:rPr>
              </m:ctrlPr>
            </m:sSubPr>
            <m:e>
              <m:r>
                <m:rPr>
                  <m:sty m:val="p"/>
                </m:rPr>
                <w:rPr>
                  <w:rFonts w:ascii="Cambria Math" w:hAnsi="Cambria Math"/>
                </w:rPr>
                <m:t>FNR</m:t>
              </m:r>
            </m:e>
            <m:sub>
              <m:r>
                <w:rPr>
                  <w:rFonts w:ascii="Cambria Math" w:hAnsi="Cambria Math"/>
                </w:rPr>
                <m:t>White</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FNR</m:t>
              </m:r>
            </m:e>
            <m:sub>
              <m:r>
                <w:rPr>
                  <w:rFonts w:ascii="Cambria Math" w:hAnsi="Cambria Math"/>
                </w:rPr>
                <m:t>Black</m:t>
              </m:r>
            </m:sub>
          </m:sSub>
          <m:r>
            <m:rPr>
              <m:sty m:val="p"/>
            </m:rPr>
            <w:rPr>
              <w:rFonts w:ascii="Cambria Math" w:hAnsi="Cambria Math"/>
            </w:rPr>
            <m:t>.</m:t>
          </m:r>
        </m:oMath>
      </m:oMathPara>
    </w:p>
    <w:p w14:paraId="736A8FF4" w14:textId="77777777" w:rsidR="007925C1" w:rsidRDefault="00000000">
      <w:pPr>
        <w:pStyle w:val="FirstParagraph"/>
        <w:spacing w:before="0" w:after="0"/>
      </w:pPr>
      <w:r>
        <w:t>So Black defendants who did not reoffend were more likely to be incorrectly labeled high risk, while white defendants who did reoffend were more likely to be incorrectly labeled low risk.</w:t>
      </w:r>
    </w:p>
    <w:p w14:paraId="5A216B7D" w14:textId="77777777" w:rsidR="007925C1" w:rsidRDefault="00000000">
      <w:pPr>
        <w:pStyle w:val="Compact"/>
        <w:numPr>
          <w:ilvl w:val="0"/>
          <w:numId w:val="13"/>
        </w:numPr>
        <w:spacing w:before="0" w:after="0"/>
      </w:pPr>
      <w:r>
        <w:rPr>
          <w:b/>
          <w:bCs/>
        </w:rPr>
        <w:t>Why this is an impossibility result.</w:t>
      </w:r>
      <w:r>
        <w:t xml:space="preserve"> Because the base rates of recidivism differed between the groups in the Broward County data, COMPAS could not simultaneously remain calibrated and equalize both error rates. That is why the ProPublica-Northpointe </w:t>
      </w:r>
      <w:r>
        <w:lastRenderedPageBreak/>
        <w:t>dispute was fundamentally a disagreement about which fairness criterion to prioritize. As the lecture emphasizes, this is not a technical flaw to be fully engineered away; it is a value choice that must be made explicitly and defended.</w:t>
      </w:r>
    </w:p>
    <w:p w14:paraId="4F25912C" w14:textId="77777777" w:rsidR="007925C1" w:rsidRDefault="00000000">
      <w:pPr>
        <w:pStyle w:val="FirstParagraph"/>
        <w:spacing w:before="0" w:after="0"/>
      </w:pPr>
      <w:r>
        <w:rPr>
          <w:b/>
          <w:bCs/>
        </w:rPr>
        <w:t>Question D)</w:t>
      </w:r>
    </w:p>
    <w:p w14:paraId="6F3F1B00" w14:textId="77777777" w:rsidR="007925C1" w:rsidRDefault="00000000">
      <w:pPr>
        <w:pStyle w:val="Compact"/>
        <w:numPr>
          <w:ilvl w:val="0"/>
          <w:numId w:val="14"/>
        </w:numPr>
        <w:spacing w:before="0" w:after="0"/>
      </w:pPr>
      <w:r>
        <w:t>Propose a governance rule: under what circumstances should an organization prioritize calibration over FPR parity? Justify using the burden-shifting framework.</w:t>
      </w:r>
    </w:p>
    <w:p w14:paraId="6E8B6F31" w14:textId="77777777" w:rsidR="007925C1" w:rsidRDefault="00000000">
      <w:pPr>
        <w:numPr>
          <w:ilvl w:val="0"/>
          <w:numId w:val="15"/>
        </w:numPr>
        <w:spacing w:after="0"/>
      </w:pPr>
      <w:r>
        <w:t>An organization should prioritize calibration over FPR parity only when calibration is a demonstrable business necessity, the score is being used for reliable risk estimation rather than automatic punitive exclusion, and no less discriminatory alternative can achieve comparable calibration with a meaningfully smaller FPR gap.</w:t>
      </w:r>
    </w:p>
    <w:p w14:paraId="7635933F" w14:textId="77777777" w:rsidR="007925C1" w:rsidRDefault="00000000">
      <w:pPr>
        <w:numPr>
          <w:ilvl w:val="0"/>
          <w:numId w:val="15"/>
        </w:numPr>
        <w:spacing w:after="0"/>
      </w:pPr>
      <w:r>
        <w:rPr>
          <w:b/>
          <w:bCs/>
        </w:rPr>
        <w:t>Step 1 - Prima facie disparity.</w:t>
      </w:r>
      <w:r>
        <w:t xml:space="preserve"> Under the burden-shifting framework, a plaintiff can first point to the FPR gap as statistical evidence of disparate impact. The lecture notes explain that when base rates differ, prioritizing calibration can produce unequal FPRs, and the COMPAS findings illustrate exactly that pattern.</w:t>
      </w:r>
    </w:p>
    <w:p w14:paraId="005EE009" w14:textId="77777777" w:rsidR="007925C1" w:rsidRDefault="00000000">
      <w:pPr>
        <w:numPr>
          <w:ilvl w:val="0"/>
          <w:numId w:val="15"/>
        </w:numPr>
        <w:spacing w:after="0"/>
      </w:pPr>
      <w:r>
        <w:rPr>
          <w:b/>
          <w:bCs/>
        </w:rPr>
        <w:t>Step 2 - Business necessity.</w:t>
      </w:r>
      <w:r>
        <w:t xml:space="preserve"> The organization must then show why calibration is essential to the system’s legitimate function. Calibration matters when decision-makers need the score to mean the same thing across groups so that a stated risk level corresponds to a comparable empirical probability. If the system is used for risk ranking, triage, or resource allocation, that reliability can support a business-necessity defense, but it must be documented rather than assumed.</w:t>
      </w:r>
    </w:p>
    <w:p w14:paraId="52C56E65" w14:textId="77777777" w:rsidR="007925C1" w:rsidRDefault="00000000">
      <w:pPr>
        <w:numPr>
          <w:ilvl w:val="0"/>
          <w:numId w:val="15"/>
        </w:numPr>
        <w:spacing w:after="0"/>
      </w:pPr>
      <w:r>
        <w:rPr>
          <w:b/>
          <w:bCs/>
        </w:rPr>
        <w:t>Step 3 - Less discriminatory alternative.</w:t>
      </w:r>
      <w:r>
        <w:t xml:space="preserve"> Even if business necessity is established, the plaintiff can still prevail by showing a less discriminatory alternative that preserves comparable calibration while reducing the FPR disparity. The lecture identifies several possible remediation strategies, including threshold adjustment by group, re-weighting the training data, adversarial debiasing, feature removal or substitution, and restricting the model to lower-stakes contexts.</w:t>
      </w:r>
    </w:p>
    <w:p w14:paraId="7B28EA36" w14:textId="77777777" w:rsidR="007925C1" w:rsidRDefault="00000000">
      <w:pPr>
        <w:numPr>
          <w:ilvl w:val="0"/>
          <w:numId w:val="15"/>
        </w:numPr>
        <w:spacing w:after="0"/>
      </w:pPr>
      <w:r>
        <w:t>Therefore, calibration should be prioritized over FPR parity only after the organization has documented the purpose of the model, measured subgroup disparities, evaluated plausible alternatives, and retained an audit trail showing why calibration had to be preserved. In high-stakes settings such as criminal justice, that burden should be especially high because false positives can impose concentrated and difficult-to-reverse harm.</w:t>
      </w:r>
    </w:p>
    <w:sectPr w:rsidR="007925C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6E457" w14:textId="77777777" w:rsidR="00432F13" w:rsidRDefault="00432F13">
      <w:pPr>
        <w:spacing w:after="0"/>
      </w:pPr>
      <w:r>
        <w:separator/>
      </w:r>
    </w:p>
  </w:endnote>
  <w:endnote w:type="continuationSeparator" w:id="0">
    <w:p w14:paraId="13D58A9C" w14:textId="77777777" w:rsidR="00432F13" w:rsidRDefault="00432F1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A82C2" w14:textId="77777777" w:rsidR="00432F13" w:rsidRDefault="00432F13">
      <w:r>
        <w:separator/>
      </w:r>
    </w:p>
  </w:footnote>
  <w:footnote w:type="continuationSeparator" w:id="0">
    <w:p w14:paraId="3FADC0F9" w14:textId="77777777" w:rsidR="00432F13" w:rsidRDefault="00432F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74FE1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521"/>
    <w:multiLevelType w:val="multilevel"/>
    <w:tmpl w:val="0122F280"/>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2" w15:restartNumberingAfterBreak="0">
    <w:nsid w:val="00A99522"/>
    <w:multiLevelType w:val="multilevel"/>
    <w:tmpl w:val="0AACB790"/>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3" w15:restartNumberingAfterBreak="0">
    <w:nsid w:val="00A99523"/>
    <w:multiLevelType w:val="multilevel"/>
    <w:tmpl w:val="08EECB5C"/>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4" w15:restartNumberingAfterBreak="0">
    <w:nsid w:val="00A99524"/>
    <w:multiLevelType w:val="multilevel"/>
    <w:tmpl w:val="F104E7A4"/>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5" w15:restartNumberingAfterBreak="0">
    <w:nsid w:val="00A99721"/>
    <w:multiLevelType w:val="multilevel"/>
    <w:tmpl w:val="7CCAD0C4"/>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6" w15:restartNumberingAfterBreak="0">
    <w:nsid w:val="00A99722"/>
    <w:multiLevelType w:val="multilevel"/>
    <w:tmpl w:val="C5CA5294"/>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7" w15:restartNumberingAfterBreak="0">
    <w:nsid w:val="00A99723"/>
    <w:multiLevelType w:val="multilevel"/>
    <w:tmpl w:val="105CE7D0"/>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8" w15:restartNumberingAfterBreak="0">
    <w:nsid w:val="00A99724"/>
    <w:multiLevelType w:val="multilevel"/>
    <w:tmpl w:val="70248CCA"/>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 w16cid:durableId="657265973">
    <w:abstractNumId w:val="0"/>
  </w:num>
  <w:num w:numId="2" w16cid:durableId="10591292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385240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5254664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264418021">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137765028">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5705793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7329039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16cid:durableId="1204633630">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16cid:durableId="864710980">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16cid:durableId="834339524">
    <w:abstractNumId w:val="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 w16cid:durableId="2973011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701641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722143670">
    <w:abstractNumId w:val="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 w16cid:durableId="8216548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925C1"/>
    <w:rsid w:val="00432F13"/>
    <w:rsid w:val="007925C1"/>
    <w:rsid w:val="00891C5D"/>
    <w:rsid w:val="00C17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AA4655"/>
  <w15:docId w15:val="{023A2766-C5AE-C54D-B040-4E4D0F84C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olor w:val="000000"/>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1026</Words>
  <Characters>5851</Characters>
  <Application>Microsoft Office Word</Application>
  <DocSecurity>0</DocSecurity>
  <Lines>48</Lines>
  <Paragraphs>13</Paragraphs>
  <ScaleCrop>false</ScaleCrop>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Santana Rodriguez, Zuleirys</cp:lastModifiedBy>
  <cp:revision>2</cp:revision>
  <dcterms:created xsi:type="dcterms:W3CDTF">2026-04-05T17:15:00Z</dcterms:created>
  <dcterms:modified xsi:type="dcterms:W3CDTF">2026-04-05T17:24:00Z</dcterms:modified>
</cp:coreProperties>
</file>