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Type III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267"/>
        <w:gridCol w:w="704"/>
        <w:gridCol w:w="1151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1,165.14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Titre2"/>
      </w:pPr>
      <w:r>
        <w:t xml:space="preserve">Table 2. Pairwise Comparisons (Tukey)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7"/>
        <w:gridCol w:w="1266"/>
        <w:gridCol w:w="961"/>
        <w:gridCol w:w="704"/>
        <w:gridCol w:w="1034"/>
        <w:gridCol w:w="1132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WCS417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-0.603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-7.715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-7.576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-4.588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WCS417 - 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WCS315 - CHA0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3.084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</w:tbl>
    <w:p>
      <w:pPr>
        <w:pStyle w:val="Titre2"/>
      </w:pPr>
      <w:r>
        <w:t xml:space="preserve">Table 3. Compact Letter Display (CLD)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2000"/>
        <w:gridCol w:w="1573"/>
        <w:gridCol w:w="655"/>
        <w:gridCol w:w="1328"/>
        <w:gridCol w:w="1328"/>
        <w:gridCol w:w="102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Estimated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Ctrl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0.05795795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1.812920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2.143778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 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0.05415606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2.187655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2.496810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 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0.05306090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2.424628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2.727532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c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0.05354612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2.428107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2.733781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c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2025-07-10T11:51:18Z</dcterms:modified>
  <cp:category/>
</cp:coreProperties>
</file>