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X. Type II ANOVA Results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40"/>
        <w:gridCol w:w="961"/>
        <w:gridCol w:w="704"/>
        <w:gridCol w:w="1132"/>
        <w:gridCol w:w="1597"/>
      </w:tblGrid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Significance</w:t>
            </w:r>
          </w:p>
        </w:tc>
      </w:tr>
      <w:tr>
        <w:trPr>
          <w:trHeight w:val="571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12.81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2025-06-02T16:34:54Z</dcterms:modified>
  <cp:category/>
</cp:coreProperties>
</file>