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X. Type II ANOVA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40"/>
        <w:gridCol w:w="814"/>
        <w:gridCol w:w="704"/>
        <w:gridCol w:w="1132"/>
        <w:gridCol w:w="1597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Factor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Chi²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Significance</w:t>
            </w:r>
          </w:p>
        </w:tc>
      </w:tr>
      <w:tr>
        <w:trPr>
          <w:trHeight w:val="572" w:hRule="auto"/>
        </w:trPr>
        body1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treatment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0.061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2025-06-02T19:25:33Z</dcterms:modified>
  <cp:category/>
</cp:coreProperties>
</file>