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 X. Type II ANOVA Results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340"/>
        <w:gridCol w:w="839"/>
        <w:gridCol w:w="704"/>
        <w:gridCol w:w="1132"/>
        <w:gridCol w:w="1597"/>
      </w:tblGrid>
      <w:tr>
        <w:trPr>
          <w:trHeight w:val="617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Chi²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Significance</w:t>
            </w:r>
          </w:p>
        </w:tc>
      </w:tr>
      <w:tr>
        <w:trPr>
          <w:trHeight w:val="571" w:hRule="auto"/>
        </w:trPr>
        body1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treatment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2025-06-02T19:38:56Z</dcterms:modified>
  <cp:category/>
</cp:coreProperties>
</file>