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X. Type II ANOVA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40"/>
        <w:gridCol w:w="839"/>
        <w:gridCol w:w="704"/>
        <w:gridCol w:w="1132"/>
        <w:gridCol w:w="1597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Significance</w:t>
            </w:r>
          </w:p>
        </w:tc>
      </w:tr>
      <w:tr>
        <w:trPr>
          <w:trHeight w:val="571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2025-06-02T19:19:11Z</dcterms:modified>
  <cp:category/>
</cp:coreProperties>
</file>