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ANOVA results for glucose (shoots)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56"/>
        <w:gridCol w:w="655"/>
        <w:gridCol w:w="1695"/>
        <w:gridCol w:w="1695"/>
        <w:gridCol w:w="1695"/>
        <w:gridCol w:w="1695"/>
      </w:tblGrid>
      <w:tr>
        <w:trPr>
          <w:trHeight w:val="61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sumsq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</w:tr>
      <w:tr>
        <w:trPr>
          <w:trHeight w:val="57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13.7882256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13.7882256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1.20041253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0.294741556</w:t>
            </w:r>
          </w:p>
        </w:tc>
      </w:tr>
      <w:tr>
        <w:trPr>
          <w:trHeight w:val="61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Water_regime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134.3802601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134.3802601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11.69923914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0.005074681</w:t>
            </w:r>
          </w:p>
        </w:tc>
      </w:tr>
      <w:tr>
        <w:trPr>
          <w:trHeight w:val="61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Treatment:Water_regime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0.2706601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0.2706601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0.02356385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0.880551064</w:t>
            </w:r>
          </w:p>
        </w:tc>
      </w:tr>
      <w:tr>
        <w:trPr>
          <w:trHeight w:val="572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Residuals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137.8348712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11.4862393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2026-01-21T15:57:28Z</dcterms:modified>
  <cp:category/>
</cp:coreProperties>
</file>