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Table: Dunn's Post-Hoc Test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67"/>
        <w:gridCol w:w="1524"/>
        <w:gridCol w:w="1695"/>
        <w:gridCol w:w="1573"/>
        <w:gridCol w:w="1578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Adjusted 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CHA0 - 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0.4548588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0.649210806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0.97381621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Dunn's Test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CHA0 - 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0.1624496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0.870951830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0.87095183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Dunn's Test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 - 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-0.2924092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0.769973740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0.92396849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Dunn's Test</w:t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CHA0 - WCS417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2.8266227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0.004704172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0.02822503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Dunn's Test</w:t>
            </w:r>
          </w:p>
        </w:tc>
      </w:tr>
      <w:tr>
        <w:trPr>
          <w:trHeight w:val="5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 - WCS417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2.3717639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0.017703400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0.03540680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Dunn's Test</w:t>
            </w:r>
          </w:p>
        </w:tc>
      </w:tr>
      <w:tr>
        <w:trPr>
          <w:trHeight w:val="57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WCS315 - WCS417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2.6641731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0.007717783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0.02315335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Dunn's Test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2025-07-13T10:08:56Z</dcterms:modified>
  <cp:category/>
</cp:coreProperties>
</file>