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jc w:val="center"/>
      </w:pPr>
      <w:r>
        <w:rPr>
          <w:rFonts w:ascii="Calibri" w:hAnsi="Calibri"/>
          <w:b/>
          <w:color w:val="004B87"/>
          <w:sz w:val="36"/>
        </w:rPr>
        <w:t>PANDUAN LENGKAP DEMO APLIKASI &amp; ALUR PERGERAKAN DATA</w:t>
      </w:r>
    </w:p>
    <w:p>
      <w:pPr>
        <w:spacing w:before="0" w:after="360"/>
        <w:jc w:val="center"/>
      </w:pPr>
      <w:r>
        <w:rPr>
          <w:rFonts w:ascii="Calibri" w:hAnsi="Calibri"/>
          <w:b/>
          <w:color w:val="EA580C"/>
          <w:sz w:val="23"/>
        </w:rPr>
        <w:t>Conclusion Intermodal Dry Port Management System (CIDP DPMS 35 Ha)</w:t>
        <w:br/>
        <w:t>Orkestrasi Terpadu: YMS (Yard) • TMS (Transport &amp; Armada Langsir) • WMS (Warehouse &amp; CFS)</w:t>
      </w:r>
    </w:p>
    <w:tbl>
      <w:tblPr>
        <w:tblW w:type="auto" w:w="0"/>
        <w:jc w:val="center"/>
        <w:tblLook w:firstColumn="1" w:firstRow="1" w:lastColumn="0" w:lastRow="0" w:noHBand="0" w:noVBand="1" w:val="04A0"/>
      </w:tblPr>
      <w:tblGrid>
        <w:gridCol w:w="3168"/>
        <w:gridCol w:w="6192"/>
      </w:tblGrid>
      <w:tr>
        <w:tc>
          <w:tcPr>
            <w:tcW w:type="dxa" w:w="4680"/>
            <w:shd w:fill="F1F5F9"/>
            <w:tcMar>
              <w:top w:w="60" w:type="dxa"/>
              <w:bottom w:w="60" w:type="dxa"/>
              <w:left w:w="100" w:type="dxa"/>
              <w:right w:w="100" w:type="dxa"/>
            </w:tcMar>
          </w:tcPr>
          <w:p>
            <w:r>
              <w:rPr>
                <w:rFonts w:ascii="Calibri" w:hAnsi="Calibri"/>
                <w:b/>
                <w:color w:val="1E293B"/>
                <w:sz w:val="19"/>
              </w:rPr>
              <w:t>Institusi Akademik</w:t>
            </w:r>
          </w:p>
        </w:tc>
        <w:tc>
          <w:tcPr>
            <w:tcW w:type="dxa" w:w="4680"/>
            <w:shd w:fill="FFFFFF"/>
            <w:tcMar>
              <w:top w:w="60" w:type="dxa"/>
              <w:bottom w:w="60" w:type="dxa"/>
              <w:left w:w="100" w:type="dxa"/>
              <w:right w:w="100" w:type="dxa"/>
            </w:tcMar>
          </w:tcPr>
          <w:p>
            <w:r>
              <w:rPr>
                <w:rFonts w:ascii="Calibri" w:hAnsi="Calibri"/>
                <w:color w:val="1E293B"/>
                <w:sz w:val="19"/>
              </w:rPr>
              <w:t>Institut Transportasi dan Logistik (ITL) Trisakti</w:t>
            </w:r>
          </w:p>
        </w:tc>
      </w:tr>
      <w:tr>
        <w:tc>
          <w:tcPr>
            <w:tcW w:type="dxa" w:w="4680"/>
            <w:shd w:fill="F1F5F9"/>
            <w:tcMar>
              <w:top w:w="60" w:type="dxa"/>
              <w:bottom w:w="60" w:type="dxa"/>
              <w:left w:w="100" w:type="dxa"/>
              <w:right w:w="100" w:type="dxa"/>
            </w:tcMar>
          </w:tcPr>
          <w:p>
            <w:r>
              <w:rPr>
                <w:rFonts w:ascii="Calibri" w:hAnsi="Calibri"/>
                <w:b/>
                <w:color w:val="1E293B"/>
                <w:sz w:val="19"/>
              </w:rPr>
              <w:t>Program Studi</w:t>
            </w:r>
          </w:p>
        </w:tc>
        <w:tc>
          <w:tcPr>
            <w:tcW w:type="dxa" w:w="4680"/>
            <w:shd w:fill="FFFFFF"/>
            <w:tcMar>
              <w:top w:w="60" w:type="dxa"/>
              <w:bottom w:w="60" w:type="dxa"/>
              <w:left w:w="100" w:type="dxa"/>
              <w:right w:w="100" w:type="dxa"/>
            </w:tcMar>
          </w:tcPr>
          <w:p>
            <w:r>
              <w:rPr>
                <w:rFonts w:ascii="Calibri" w:hAnsi="Calibri"/>
                <w:color w:val="1E293B"/>
                <w:sz w:val="19"/>
              </w:rPr>
              <w:t>Manajemen Transportasi Logistik</w:t>
            </w:r>
          </w:p>
        </w:tc>
      </w:tr>
      <w:tr>
        <w:tc>
          <w:tcPr>
            <w:tcW w:type="dxa" w:w="4680"/>
            <w:shd w:fill="F1F5F9"/>
            <w:tcMar>
              <w:top w:w="60" w:type="dxa"/>
              <w:bottom w:w="60" w:type="dxa"/>
              <w:left w:w="100" w:type="dxa"/>
              <w:right w:w="100" w:type="dxa"/>
            </w:tcMar>
          </w:tcPr>
          <w:p>
            <w:r>
              <w:rPr>
                <w:rFonts w:ascii="Calibri" w:hAnsi="Calibri"/>
                <w:b/>
                <w:color w:val="1E293B"/>
                <w:sz w:val="19"/>
              </w:rPr>
              <w:t>Mata Kuliah / Topik</w:t>
            </w:r>
          </w:p>
        </w:tc>
        <w:tc>
          <w:tcPr>
            <w:tcW w:type="dxa" w:w="4680"/>
            <w:shd w:fill="FFFFFF"/>
            <w:tcMar>
              <w:top w:w="60" w:type="dxa"/>
              <w:bottom w:w="60" w:type="dxa"/>
              <w:left w:w="100" w:type="dxa"/>
              <w:right w:w="100" w:type="dxa"/>
            </w:tcMar>
          </w:tcPr>
          <w:p>
            <w:r>
              <w:rPr>
                <w:rFonts w:ascii="Calibri" w:hAnsi="Calibri"/>
                <w:color w:val="1E293B"/>
                <w:sz w:val="19"/>
              </w:rPr>
              <w:t>Teknologi dan Perangkat Lunak Logistik (ICD &amp; Dry Port Management)</w:t>
            </w:r>
          </w:p>
        </w:tc>
      </w:tr>
      <w:tr>
        <w:tc>
          <w:tcPr>
            <w:tcW w:type="dxa" w:w="4680"/>
            <w:shd w:fill="F1F5F9"/>
            <w:tcMar>
              <w:top w:w="60" w:type="dxa"/>
              <w:bottom w:w="60" w:type="dxa"/>
              <w:left w:w="100" w:type="dxa"/>
              <w:right w:w="100" w:type="dxa"/>
            </w:tcMar>
          </w:tcPr>
          <w:p>
            <w:r>
              <w:rPr>
                <w:rFonts w:ascii="Calibri" w:hAnsi="Calibri"/>
                <w:b/>
                <w:color w:val="1E293B"/>
                <w:sz w:val="19"/>
              </w:rPr>
              <w:t>Dosen Pengampu</w:t>
            </w:r>
          </w:p>
        </w:tc>
        <w:tc>
          <w:tcPr>
            <w:tcW w:type="dxa" w:w="4680"/>
            <w:shd w:fill="FFFFFF"/>
            <w:tcMar>
              <w:top w:w="60" w:type="dxa"/>
              <w:bottom w:w="60" w:type="dxa"/>
              <w:left w:w="100" w:type="dxa"/>
              <w:right w:w="100" w:type="dxa"/>
            </w:tcMar>
          </w:tcPr>
          <w:p>
            <w:r>
              <w:rPr>
                <w:rFonts w:ascii="Calibri" w:hAnsi="Calibri"/>
                <w:color w:val="1E293B"/>
                <w:sz w:val="19"/>
              </w:rPr>
              <w:t>Dr. Tigor Franky, S.T., M.T.</w:t>
            </w:r>
          </w:p>
        </w:tc>
      </w:tr>
      <w:tr>
        <w:tc>
          <w:tcPr>
            <w:tcW w:type="dxa" w:w="4680"/>
            <w:shd w:fill="F1F5F9"/>
            <w:tcMar>
              <w:top w:w="60" w:type="dxa"/>
              <w:bottom w:w="60" w:type="dxa"/>
              <w:left w:w="100" w:type="dxa"/>
              <w:right w:w="100" w:type="dxa"/>
            </w:tcMar>
          </w:tcPr>
          <w:p>
            <w:r>
              <w:rPr>
                <w:rFonts w:ascii="Calibri" w:hAnsi="Calibri"/>
                <w:b/>
                <w:color w:val="1E293B"/>
                <w:sz w:val="19"/>
              </w:rPr>
              <w:t>Pengembang / Penyusun</w:t>
            </w:r>
          </w:p>
        </w:tc>
        <w:tc>
          <w:tcPr>
            <w:tcW w:type="dxa" w:w="4680"/>
            <w:shd w:fill="FFFFFF"/>
            <w:tcMar>
              <w:top w:w="60" w:type="dxa"/>
              <w:bottom w:w="60" w:type="dxa"/>
              <w:left w:w="100" w:type="dxa"/>
              <w:right w:w="100" w:type="dxa"/>
            </w:tcMar>
          </w:tcPr>
          <w:p>
            <w:r>
              <w:rPr>
                <w:rFonts w:ascii="Calibri" w:hAnsi="Calibri"/>
                <w:color w:val="1E293B"/>
                <w:sz w:val="19"/>
              </w:rPr>
              <w:t>Zulfikar Jafarudin Fatah &amp; Tim Conclusion Supply Chain Consultant</w:t>
            </w:r>
          </w:p>
        </w:tc>
      </w:tr>
    </w:tbl>
    <w:p>
      <w:pPr>
        <w:spacing w:after="200"/>
      </w:pPr>
    </w:p>
    <w:p>
      <w:pPr>
        <w:keepNext/>
        <w:spacing w:before="360" w:after="120"/>
      </w:pPr>
      <w:r>
        <w:rPr>
          <w:rFonts w:ascii="Calibri" w:hAnsi="Calibri"/>
          <w:b/>
          <w:color w:val="004B87"/>
          <w:sz w:val="28"/>
        </w:rPr>
        <w:t>1. Filosofi Desain &amp; Karakteristik Data Dry Port</w:t>
      </w:r>
    </w:p>
    <w:p>
      <w:pPr>
        <w:spacing w:before="0" w:after="100" w:line="276" w:lineRule="auto"/>
      </w:pPr>
      <w:r>
        <w:rPr>
          <w:rFonts w:ascii="Calibri" w:hAnsi="Calibri"/>
          <w:i w:val="0"/>
          <w:color w:val="1E293B"/>
          <w:sz w:val="20"/>
        </w:rPr>
        <w:t>Aplikasi Conclusion Intermodal Dry Port Management System (CIDP DPMS) 35 Ha dirancang sebagai platform terpadu pelabuhan daratan berbasis peristiwa waktu-nyata (Event-Driven Architecture). Berbeda dengan sistem pencatatan konvensional yang mengandalkan input formulir manual, seluruh alur operasional CIDP digerakkan oleh integrasi sensor perangkat keras lapangan.</w:t>
      </w:r>
    </w:p>
    <w:p>
      <w:pPr>
        <w:pStyle w:val="ListBullet"/>
        <w:spacing w:before="0" w:after="60" w:line="276" w:lineRule="auto"/>
      </w:pPr>
      <w:r>
        <w:rPr>
          <w:rFonts w:ascii="Calibri" w:hAnsi="Calibri"/>
          <w:b/>
          <w:color w:val="1E293B"/>
          <w:sz w:val="20"/>
        </w:rPr>
        <w:t xml:space="preserve">Otomasi Tanpa Ketik: </w:t>
      </w:r>
      <w:r>
        <w:rPr>
          <w:rFonts w:ascii="Calibri" w:hAnsi="Calibri"/>
          <w:color w:val="1E293B"/>
          <w:sz w:val="20"/>
        </w:rPr>
        <w:t>Tidak ada entri data manual untuk pergerakan fisik peti kemas. Seluruh pergerakan ditangkap oleh sensor optik (ANPR &amp; OCR), RFID UHF, jembatan timbang elektronik 80T, dan GPS alat berat.</w:t>
      </w:r>
    </w:p>
    <w:p>
      <w:pPr>
        <w:pStyle w:val="ListBullet"/>
        <w:spacing w:before="0" w:after="60" w:line="276" w:lineRule="auto"/>
      </w:pPr>
      <w:r>
        <w:rPr>
          <w:rFonts w:ascii="Calibri" w:hAnsi="Calibri"/>
          <w:b/>
          <w:color w:val="1E293B"/>
          <w:sz w:val="20"/>
        </w:rPr>
        <w:t xml:space="preserve">Kepatuhan Regulasi: </w:t>
      </w:r>
      <w:r>
        <w:rPr>
          <w:rFonts w:ascii="Calibri" w:hAnsi="Calibri"/>
          <w:color w:val="1E293B"/>
          <w:sz w:val="20"/>
        </w:rPr>
        <w:t>Data bergerak searah dengan fisik barang, menjamin integritas audit trail sesuai standar kepabeanan (CEISA 4.0 DJBC) dan regulasi maritim internasional (SOLAS VGM IMO Chapter VI).</w:t>
      </w:r>
    </w:p>
    <w:p>
      <w:pPr>
        <w:pStyle w:val="ListBullet"/>
        <w:spacing w:before="0" w:after="60" w:line="276" w:lineRule="auto"/>
      </w:pPr>
      <w:r>
        <w:rPr>
          <w:rFonts w:ascii="Calibri" w:hAnsi="Calibri"/>
          <w:b/>
          <w:color w:val="1E293B"/>
          <w:sz w:val="20"/>
        </w:rPr>
        <w:t xml:space="preserve">Desain Ringkas Berdensitas Tinggi: </w:t>
      </w:r>
      <w:r>
        <w:rPr>
          <w:rFonts w:ascii="Calibri" w:hAnsi="Calibri"/>
          <w:color w:val="1E293B"/>
          <w:sz w:val="20"/>
        </w:rPr>
        <w:t>Antarmuka dirancang mengikuti kaidah Executive High-Density UI (Conclusion Orange &amp; Slate) agar memuat informasi padat menyerupai kokpit terminal eksekutif pelabuhan dunia.</w:t>
      </w:r>
    </w:p>
    <w:p>
      <w:pPr>
        <w:keepNext/>
        <w:spacing w:before="360" w:after="120"/>
      </w:pPr>
      <w:r>
        <w:rPr>
          <w:rFonts w:ascii="Calibri" w:hAnsi="Calibri"/>
          <w:b/>
          <w:color w:val="004B87"/>
          <w:sz w:val="28"/>
        </w:rPr>
        <w:t>2. Arsitektur Triad DPMS: Mengapa Dry Port Memerlukan YMS, TMS, dan WMS?</w:t>
      </w:r>
    </w:p>
    <w:p>
      <w:pPr>
        <w:spacing w:before="0" w:after="100" w:line="276" w:lineRule="auto"/>
      </w:pPr>
      <w:r>
        <w:rPr>
          <w:rFonts w:ascii="Calibri" w:hAnsi="Calibri"/>
          <w:i w:val="0"/>
          <w:color w:val="1E293B"/>
          <w:sz w:val="20"/>
        </w:rPr>
        <w:t>Dry Port adalah ekosistem logistik multimoda yang sangat kompleks. Konsep awal yang hanya berfokus pada lapangan penumpukan (Yard) kini diperluas secara resmi menjadi CIDP DPMS (Dry Port Management System) yang mengorkestrasikan tiga pilar utama dengan batasan fungsional yang tegas:</w:t>
      </w:r>
    </w:p>
    <w:p>
      <w:pPr>
        <w:keepNext/>
        <w:spacing w:before="160" w:after="40"/>
      </w:pPr>
      <w:r>
        <w:rPr>
          <w:rFonts w:ascii="Calibri" w:hAnsi="Calibri"/>
          <w:b/>
          <w:color w:val="1E293B"/>
          <w:sz w:val="22"/>
        </w:rPr>
        <w:t>A. Pilar TMS (Transportation Management System) — Mengapa Diperlukan?</w:t>
      </w:r>
    </w:p>
    <w:p>
      <w:pPr>
        <w:pStyle w:val="ListBullet"/>
        <w:spacing w:before="0" w:after="60" w:line="276" w:lineRule="auto"/>
      </w:pPr>
      <w:r>
        <w:rPr>
          <w:rFonts w:ascii="Calibri" w:hAnsi="Calibri"/>
          <w:b/>
          <w:color w:val="1E293B"/>
          <w:sz w:val="20"/>
        </w:rPr>
        <w:t xml:space="preserve">1. Truk Eksternal (Highway Drayage): </w:t>
      </w:r>
      <w:r>
        <w:rPr>
          <w:rFonts w:ascii="Calibri" w:hAnsi="Calibri"/>
          <w:color w:val="1E293B"/>
          <w:sz w:val="20"/>
        </w:rPr>
        <w:t>Mengatur antrian pra-gerbang luar (buffer), pemeriksaan kamera ANPR/OCR, penimbangan jembatan timbang 80T SOLAS VGM, penerbitan e-Gate Pass, dan pemantauan Turnaround Time (TAT) truk pengangkut dari/ke jalan tol.</w:t>
      </w:r>
    </w:p>
    <w:p>
      <w:pPr>
        <w:pStyle w:val="ListBullet"/>
        <w:spacing w:before="0" w:after="60" w:line="276" w:lineRule="auto"/>
      </w:pPr>
      <w:r>
        <w:rPr>
          <w:rFonts w:ascii="Calibri" w:hAnsi="Calibri"/>
          <w:b/>
          <w:color w:val="1E293B"/>
          <w:sz w:val="20"/>
        </w:rPr>
        <w:t xml:space="preserve">2. Head Truck Langsir Internal (Terminal Tractor): </w:t>
      </w:r>
      <w:r>
        <w:rPr>
          <w:rFonts w:ascii="Calibri" w:hAnsi="Calibri"/>
          <w:color w:val="1E293B"/>
          <w:sz w:val="20"/>
        </w:rPr>
        <w:t>Di dalam terminal seluas 35 Ha, CIDP mengoperasikan armada khusus Head Truck Langsir Internal (Terminal Tractor / Shunting Truck: KTT-01, KTT-02, KTT-03). Truk ini TIDAK PERNAH KELUAR KE JALAN RAYA TOL. Fungsinya murni melayani transfer sirkulasi internal: Rel Siding KA Pasoso &lt;-&gt; Gudang CFS Rampa &lt;-&gt; Yard Stacking. TMS mengelola rute langsir, coupling trailer, dan siklus langsir (turnaround 8.2 menit).</w:t>
      </w:r>
    </w:p>
    <w:p>
      <w:pPr>
        <w:pStyle w:val="ListBullet"/>
        <w:spacing w:before="0" w:after="60" w:line="276" w:lineRule="auto"/>
      </w:pPr>
      <w:r>
        <w:rPr>
          <w:rFonts w:ascii="Calibri" w:hAnsi="Calibri"/>
          <w:b/>
          <w:color w:val="1E293B"/>
          <w:sz w:val="20"/>
        </w:rPr>
        <w:t xml:space="preserve">3. Intermodal Rail Freight (KA Logistik Pasoso): </w:t>
      </w:r>
      <w:r>
        <w:rPr>
          <w:rFonts w:ascii="Calibri" w:hAnsi="Calibri"/>
          <w:color w:val="1E293B"/>
          <w:sz w:val="20"/>
        </w:rPr>
        <w:t>Penjadwalan rangkaian kereta api pelabuhan, pemantauan 30 gerbong datar PPCW 42T, dan sensor gandar Frauscher Wheel Sensor SIL 4.</w:t>
      </w:r>
    </w:p>
    <w:p>
      <w:pPr>
        <w:keepNext/>
        <w:spacing w:before="160" w:after="40"/>
      </w:pPr>
      <w:r>
        <w:rPr>
          <w:rFonts w:ascii="Calibri" w:hAnsi="Calibri"/>
          <w:b/>
          <w:color w:val="1E293B"/>
          <w:sz w:val="22"/>
        </w:rPr>
        <w:t>B. Pilar YMS (Yard Management System) — Inti Operasional 35 Ha</w:t>
      </w:r>
    </w:p>
    <w:p>
      <w:pPr>
        <w:pStyle w:val="ListBullet"/>
        <w:spacing w:before="0" w:after="60" w:line="276" w:lineRule="auto"/>
      </w:pPr>
      <w:r>
        <w:rPr>
          <w:rFonts w:ascii="Calibri" w:hAnsi="Calibri"/>
          <w:b/>
          <w:color w:val="1E293B"/>
          <w:sz w:val="20"/>
        </w:rPr>
        <w:t xml:space="preserve">1. Buffer Kapasitas Lapangan: </w:t>
      </w:r>
      <w:r>
        <w:rPr>
          <w:rFonts w:ascii="Calibri" w:hAnsi="Calibri"/>
          <w:color w:val="1E293B"/>
          <w:sz w:val="20"/>
        </w:rPr>
        <w:t>Yard seluas 35 Ha berfungsi sebagai titik temu (cross-point) alih muat antara moda kereta api dan angkutan truk darat.</w:t>
      </w:r>
    </w:p>
    <w:p>
      <w:pPr>
        <w:pStyle w:val="ListBullet"/>
        <w:spacing w:before="0" w:after="60" w:line="276" w:lineRule="auto"/>
      </w:pPr>
      <w:r>
        <w:rPr>
          <w:rFonts w:ascii="Calibri" w:hAnsi="Calibri"/>
          <w:b/>
          <w:color w:val="1E293B"/>
          <w:sz w:val="20"/>
        </w:rPr>
        <w:t xml:space="preserve">2. Optimasi Alokasi 3D (Bay-Row-Tier): </w:t>
      </w:r>
      <w:r>
        <w:rPr>
          <w:rFonts w:ascii="Calibri" w:hAnsi="Calibri"/>
          <w:color w:val="1E293B"/>
          <w:sz w:val="20"/>
        </w:rPr>
        <w:t>Menentukan posisi koordinat tumpukan peti kemas secara presisi untuk meminimalkan gerakan bongkar-pindah ganda (shifting minimization).</w:t>
      </w:r>
    </w:p>
    <w:p>
      <w:pPr>
        <w:pStyle w:val="ListBullet"/>
        <w:spacing w:before="0" w:after="60" w:line="276" w:lineRule="auto"/>
      </w:pPr>
      <w:r>
        <w:rPr>
          <w:rFonts w:ascii="Calibri" w:hAnsi="Calibri"/>
          <w:b/>
          <w:color w:val="1E293B"/>
          <w:sz w:val="20"/>
        </w:rPr>
        <w:t xml:space="preserve">3. Dispatching Alat Berat: </w:t>
      </w:r>
      <w:r>
        <w:rPr>
          <w:rFonts w:ascii="Calibri" w:hAnsi="Calibri"/>
          <w:color w:val="1E293B"/>
          <w:sz w:val="20"/>
        </w:rPr>
        <w:t>Mengatur pergerakan derek RTG dan Reach Stacker berakurasi sentimeter menggunakan DGPS RTK.</w:t>
      </w:r>
    </w:p>
    <w:p>
      <w:pPr>
        <w:pStyle w:val="ListBullet"/>
        <w:spacing w:before="0" w:after="60" w:line="276" w:lineRule="auto"/>
      </w:pPr>
      <w:r>
        <w:rPr>
          <w:rFonts w:ascii="Calibri" w:hAnsi="Calibri"/>
          <w:b/>
          <w:color w:val="1E293B"/>
          <w:sz w:val="20"/>
        </w:rPr>
        <w:t xml:space="preserve">4. Reefer Cold Chain: </w:t>
      </w:r>
      <w:r>
        <w:rPr>
          <w:rFonts w:ascii="Calibri" w:hAnsi="Calibri"/>
          <w:color w:val="1E293B"/>
          <w:sz w:val="20"/>
        </w:rPr>
        <w:t>Memonitor 300 titik colokan pendingin reefer secara otomatis dengan sensor suhu SHT40 LoRaWAN.</w:t>
      </w:r>
    </w:p>
    <w:p>
      <w:pPr>
        <w:keepNext/>
        <w:spacing w:before="160" w:after="40"/>
      </w:pPr>
      <w:r>
        <w:rPr>
          <w:rFonts w:ascii="Calibri" w:hAnsi="Calibri"/>
          <w:b/>
          <w:color w:val="1E293B"/>
          <w:sz w:val="22"/>
        </w:rPr>
        <w:t>C. Pilar WMS (Warehouse Management System / CFS) — Mengapa Diperlukan?</w:t>
      </w:r>
    </w:p>
    <w:p>
      <w:pPr>
        <w:pStyle w:val="ListBullet"/>
        <w:spacing w:before="0" w:after="60" w:line="276" w:lineRule="auto"/>
      </w:pPr>
      <w:r>
        <w:rPr>
          <w:rFonts w:ascii="Calibri" w:hAnsi="Calibri"/>
          <w:b/>
          <w:color w:val="1E293B"/>
          <w:sz w:val="20"/>
        </w:rPr>
        <w:t xml:space="preserve">1. Container Freight Station (CFS Rampa D1-D5): </w:t>
      </w:r>
      <w:r>
        <w:rPr>
          <w:rFonts w:ascii="Calibri" w:hAnsi="Calibri"/>
          <w:color w:val="1E293B"/>
          <w:sz w:val="20"/>
        </w:rPr>
        <w:t>Dry port bukan hanya lapangan peti kemas kosong, melainkan pusat konsolidasi barang manufaktur industri ekspor-impor.</w:t>
      </w:r>
    </w:p>
    <w:p>
      <w:pPr>
        <w:pStyle w:val="ListBullet"/>
        <w:spacing w:before="0" w:after="60" w:line="276" w:lineRule="auto"/>
      </w:pPr>
      <w:r>
        <w:rPr>
          <w:rFonts w:ascii="Calibri" w:hAnsi="Calibri"/>
          <w:b/>
          <w:color w:val="1E293B"/>
          <w:sz w:val="20"/>
        </w:rPr>
        <w:t xml:space="preserve">2. Konsolidasi &amp; Dekonsolidasi (LCL &lt;-&gt; FCL): </w:t>
      </w:r>
      <w:r>
        <w:rPr>
          <w:rFonts w:ascii="Calibri" w:hAnsi="Calibri"/>
          <w:color w:val="1E293B"/>
          <w:sz w:val="20"/>
        </w:rPr>
        <w:t>Membongkar kargo peti kemas impor (stripping) menjadi muatan pallet LCL, atau menggabungkan kargo beberapa eksportir (stuffing) ke dalam satu kontainer FCL.</w:t>
      </w:r>
    </w:p>
    <w:p>
      <w:pPr>
        <w:pStyle w:val="ListBullet"/>
        <w:spacing w:before="0" w:after="60" w:line="276" w:lineRule="auto"/>
      </w:pPr>
      <w:r>
        <w:rPr>
          <w:rFonts w:ascii="Calibri" w:hAnsi="Calibri"/>
          <w:b/>
          <w:color w:val="1E293B"/>
          <w:sz w:val="20"/>
        </w:rPr>
        <w:t xml:space="preserve">3. Manajemen Gudang Tertutup: </w:t>
      </w:r>
      <w:r>
        <w:rPr>
          <w:rFonts w:ascii="Calibri" w:hAnsi="Calibri"/>
          <w:color w:val="1E293B"/>
          <w:sz w:val="20"/>
        </w:rPr>
        <w:t>Dilengkapi timbangan lantai pallet 3 Ton (HW-17), barcode scanner genggam (HW-18), dan sensor keselamatan gas multigas HW-19 di dalam gudang tertutup.</w:t>
      </w:r>
    </w:p>
    <w:p>
      <w:pPr>
        <w:keepNext/>
        <w:spacing w:before="160" w:after="40"/>
      </w:pPr>
      <w:r>
        <w:rPr>
          <w:rFonts w:ascii="Calibri" w:hAnsi="Calibri"/>
          <w:b/>
          <w:color w:val="1E293B"/>
          <w:sz w:val="22"/>
        </w:rPr>
        <w:t>D. Integrasi Pendukung: Kepabeanan &amp; Finansial</w:t>
      </w:r>
    </w:p>
    <w:p>
      <w:pPr>
        <w:pStyle w:val="ListBullet"/>
        <w:spacing w:before="0" w:after="60" w:line="276" w:lineRule="auto"/>
      </w:pPr>
      <w:r>
        <w:rPr>
          <w:rFonts w:ascii="Calibri" w:hAnsi="Calibri"/>
          <w:b/>
          <w:color w:val="1E293B"/>
          <w:sz w:val="20"/>
        </w:rPr>
        <w:t xml:space="preserve">Kepabeanan Pabean: </w:t>
      </w:r>
      <w:r>
        <w:rPr>
          <w:rFonts w:ascii="Calibri" w:hAnsi="Calibri"/>
          <w:color w:val="1E293B"/>
          <w:sz w:val="20"/>
        </w:rPr>
        <w:t>Integrasi langsung ke CEISA 4.0 DJBC (Jalur Hijau auto-release SPPB vs Jalur Merah Behandle Blok E).</w:t>
      </w:r>
    </w:p>
    <w:p>
      <w:pPr>
        <w:pStyle w:val="ListBullet"/>
        <w:spacing w:before="0" w:after="60" w:line="276" w:lineRule="auto"/>
      </w:pPr>
      <w:r>
        <w:rPr>
          <w:rFonts w:ascii="Calibri" w:hAnsi="Calibri"/>
          <w:b/>
          <w:color w:val="1E293B"/>
          <w:sz w:val="20"/>
        </w:rPr>
        <w:t xml:space="preserve">Billing Finansial: </w:t>
      </w:r>
      <w:r>
        <w:rPr>
          <w:rFonts w:ascii="Calibri" w:hAnsi="Calibri"/>
          <w:color w:val="1E293B"/>
          <w:sz w:val="20"/>
        </w:rPr>
        <w:t>Agregasi otomatis seluruh tarif gerbang, timbang VGM, lo-lo crane, dan dwell time ke faktur ERP Odoo.</w:t>
      </w:r>
    </w:p>
    <w:p>
      <w:pPr>
        <w:keepNext/>
        <w:spacing w:before="360" w:after="120"/>
      </w:pPr>
      <w:r>
        <w:rPr>
          <w:rFonts w:ascii="Calibri" w:hAnsi="Calibri"/>
          <w:b/>
          <w:color w:val="004B87"/>
          <w:sz w:val="28"/>
        </w:rPr>
        <w:t>3. Triad Aliran Utama: Fisik, Informasi, dan Finansial</w:t>
      </w:r>
    </w:p>
    <w:p>
      <w:pPr>
        <w:spacing w:before="0" w:after="100" w:line="276" w:lineRule="auto"/>
      </w:pPr>
      <w:r>
        <w:rPr>
          <w:rFonts w:ascii="Calibri" w:hAnsi="Calibri"/>
          <w:i w:val="0"/>
          <w:color w:val="1E293B"/>
          <w:sz w:val="20"/>
        </w:rPr>
        <w:t>Setiap aktivitas operasional di pelabuhan kering melibatkan tiga lapisan aliran yang saling berkesinambungan:</w:t>
      </w:r>
    </w:p>
    <w:p>
      <w:pPr>
        <w:pStyle w:val="ListBullet"/>
        <w:spacing w:before="0" w:after="60" w:line="276" w:lineRule="auto"/>
      </w:pPr>
      <w:r>
        <w:rPr>
          <w:rFonts w:ascii="Calibri" w:hAnsi="Calibri"/>
          <w:b/>
          <w:color w:val="1E293B"/>
          <w:sz w:val="20"/>
        </w:rPr>
        <w:t xml:space="preserve">1. Aliran Fisik &amp; Sensor (Hardware Layer): </w:t>
      </w:r>
      <w:r>
        <w:rPr>
          <w:rFonts w:ascii="Calibri" w:hAnsi="Calibri"/>
          <w:color w:val="1E293B"/>
          <w:sz w:val="20"/>
        </w:rPr>
        <w:t>Pergerakan fisik truk, kereta api, Reach Stacker, serta pengukuran sensor lapangan (loop detector, timbangan, suhu, dan arus listrik).</w:t>
      </w:r>
    </w:p>
    <w:p>
      <w:pPr>
        <w:pStyle w:val="ListBullet"/>
        <w:spacing w:before="0" w:after="60" w:line="276" w:lineRule="auto"/>
      </w:pPr>
      <w:r>
        <w:rPr>
          <w:rFonts w:ascii="Calibri" w:hAnsi="Calibri"/>
          <w:b/>
          <w:color w:val="1E293B"/>
          <w:sz w:val="20"/>
        </w:rPr>
        <w:t xml:space="preserve">2. Aliran Informasi &amp; Software (CIDP DPMS Engine): </w:t>
      </w:r>
      <w:r>
        <w:rPr>
          <w:rFonts w:ascii="Calibri" w:hAnsi="Calibri"/>
          <w:color w:val="1E293B"/>
          <w:sz w:val="20"/>
        </w:rPr>
        <w:t>Pengolahan sinyal telemetri oleh Edge PC, validasi aturan bisnis (Check Digit ISO 6346, kuota slot Bay-Row-Tier), dan pembaruan database MySQL PDO.</w:t>
      </w:r>
    </w:p>
    <w:p>
      <w:pPr>
        <w:pStyle w:val="ListBullet"/>
        <w:spacing w:before="0" w:after="60" w:line="276" w:lineRule="auto"/>
      </w:pPr>
      <w:r>
        <w:rPr>
          <w:rFonts w:ascii="Calibri" w:hAnsi="Calibri"/>
          <w:b/>
          <w:color w:val="1E293B"/>
          <w:sz w:val="20"/>
        </w:rPr>
        <w:t xml:space="preserve">3. Aliran Finansial &amp; Komersial (Billing ERP Layer): </w:t>
      </w:r>
      <w:r>
        <w:rPr>
          <w:rFonts w:ascii="Calibri" w:hAnsi="Calibri"/>
          <w:color w:val="1E293B"/>
          <w:sz w:val="20"/>
        </w:rPr>
        <w:t>Setiap pergerakan fisik yang sah seketika membentuk pos piutang penagihan (Billing Ledger Entry) yang disinkronkan ke ERP Odoo keuangan terminal.</w:t>
      </w:r>
    </w:p>
    <w:p>
      <w:pPr>
        <w:keepNext/>
        <w:spacing w:before="360" w:after="120"/>
      </w:pPr>
      <w:r>
        <w:rPr>
          <w:rFonts w:ascii="Calibri" w:hAnsi="Calibri"/>
          <w:b/>
          <w:color w:val="004B87"/>
          <w:sz w:val="28"/>
        </w:rPr>
        <w:t>4. Titik Awal Demo &amp; Genesis of Data (Dari Mana Data Bergerak?)</w:t>
      </w:r>
    </w:p>
    <w:p>
      <w:pPr>
        <w:spacing w:before="0" w:after="100" w:line="276" w:lineRule="auto"/>
      </w:pPr>
      <w:r>
        <w:rPr>
          <w:rFonts w:ascii="Calibri" w:hAnsi="Calibri"/>
          <w:i w:val="0"/>
          <w:color w:val="1E293B"/>
          <w:sz w:val="20"/>
        </w:rPr>
        <w:t>Titik awal kelahiran data operasional aktif (Genesis of Data) di aplikasi CIDP berawal dari GERBANG MASUK (Gate-In) saat roda depan truk menginjak sensor tanam aspal (Inductive Loop Detector).</w:t>
      </w:r>
    </w:p>
    <w:p>
      <w:pPr>
        <w:spacing w:before="0" w:after="100" w:line="276" w:lineRule="auto"/>
      </w:pPr>
      <w:r>
        <w:rPr>
          <w:rFonts w:ascii="Calibri" w:hAnsi="Calibri"/>
          <w:i w:val="0"/>
          <w:color w:val="1E293B"/>
          <w:sz w:val="20"/>
        </w:rPr>
        <w:t>Sebelum truk tiba, sistem telah memiliki data pra-kondisi (Pre-Advise / Delivery Order). Namun proses eksekusi data fisik dimulai saat 4 instrumen telemetri gerbang bekerja bersamaan:</w:t>
      </w:r>
    </w:p>
    <w:p>
      <w:pPr>
        <w:pStyle w:val="ListBullet"/>
        <w:spacing w:before="0" w:after="60" w:line="276" w:lineRule="auto"/>
      </w:pPr>
      <w:r>
        <w:rPr>
          <w:rFonts w:ascii="Calibri" w:hAnsi="Calibri"/>
          <w:b/>
          <w:color w:val="1E293B"/>
          <w:sz w:val="20"/>
        </w:rPr>
        <w:t xml:space="preserve">1. Kamera ANPR Gate (HW-01): </w:t>
      </w:r>
      <w:r>
        <w:rPr>
          <w:rFonts w:ascii="Calibri" w:hAnsi="Calibri"/>
          <w:color w:val="1E293B"/>
          <w:sz w:val="20"/>
        </w:rPr>
        <w:t>Membaca plat nomor armada (misal: B 9182 TE) secara otomatis dengan akurasi 99.4%.</w:t>
      </w:r>
    </w:p>
    <w:p>
      <w:pPr>
        <w:pStyle w:val="ListBullet"/>
        <w:spacing w:before="0" w:after="60" w:line="276" w:lineRule="auto"/>
      </w:pPr>
      <w:r>
        <w:rPr>
          <w:rFonts w:ascii="Calibri" w:hAnsi="Calibri"/>
          <w:b/>
          <w:color w:val="1E293B"/>
          <w:sz w:val="20"/>
        </w:rPr>
        <w:t xml:space="preserve">2. Kamera Portal OCR (HW-02): </w:t>
      </w:r>
      <w:r>
        <w:rPr>
          <w:rFonts w:ascii="Calibri" w:hAnsi="Calibri"/>
          <w:color w:val="1E293B"/>
          <w:sz w:val="20"/>
        </w:rPr>
        <w:t>Memindai nomor boks ISO 6346 (misal: MSKU9182374) dan tipe ukuran (42G1 - 40ft High Cube).</w:t>
      </w:r>
    </w:p>
    <w:p>
      <w:pPr>
        <w:pStyle w:val="ListBullet"/>
        <w:spacing w:before="0" w:after="60" w:line="276" w:lineRule="auto"/>
      </w:pPr>
      <w:r>
        <w:rPr>
          <w:rFonts w:ascii="Calibri" w:hAnsi="Calibri"/>
          <w:b/>
          <w:color w:val="1E293B"/>
          <w:sz w:val="20"/>
        </w:rPr>
        <w:t xml:space="preserve">3. Jembatan Timbang 80 Ton (HW-03): </w:t>
      </w:r>
      <w:r>
        <w:rPr>
          <w:rFonts w:ascii="Calibri" w:hAnsi="Calibri"/>
          <w:color w:val="1E293B"/>
          <w:sz w:val="20"/>
        </w:rPr>
        <w:t>Menimbang bobot kotor armada (34.200 kg) dan menerbitkan sertifikasi timbang SOLAS VGM yang sah secara hukum maritim internasional.</w:t>
      </w:r>
    </w:p>
    <w:p>
      <w:pPr>
        <w:pStyle w:val="ListBullet"/>
        <w:spacing w:before="0" w:after="60" w:line="276" w:lineRule="auto"/>
      </w:pPr>
      <w:r>
        <w:rPr>
          <w:rFonts w:ascii="Calibri" w:hAnsi="Calibri"/>
          <w:b/>
          <w:color w:val="1E293B"/>
          <w:sz w:val="20"/>
        </w:rPr>
        <w:t xml:space="preserve">4. Edge PC Controller (HW-06): </w:t>
      </w:r>
      <w:r>
        <w:rPr>
          <w:rFonts w:ascii="Calibri" w:hAnsi="Calibri"/>
          <w:color w:val="1E293B"/>
          <w:sz w:val="20"/>
        </w:rPr>
        <w:t>Memvalidasi data, mengubah status truk menjadi 'in_yard', membuka palang otomatis, mencatat log yard_events (GATE_IN), dan menerbitkan biaya Pas Masuk serta Sertifikasi VGM di modul Billing.</w:t>
      </w:r>
    </w:p>
    <w:p>
      <w:pPr>
        <w:keepNext/>
        <w:spacing w:before="360" w:after="120"/>
      </w:pPr>
      <w:r>
        <w:rPr>
          <w:rFonts w:ascii="Calibri" w:hAnsi="Calibri"/>
          <w:b/>
          <w:color w:val="004B87"/>
          <w:sz w:val="28"/>
        </w:rPr>
        <w:t>5. Skenario Utama Demo: Perjalanan 1 Peti Kemas End-to-End</w:t>
      </w:r>
    </w:p>
    <w:p>
      <w:pPr>
        <w:spacing w:before="0" w:after="100" w:line="276" w:lineRule="auto"/>
      </w:pPr>
      <w:r>
        <w:rPr>
          <w:rFonts w:ascii="Calibri" w:hAnsi="Calibri"/>
          <w:i w:val="0"/>
          <w:color w:val="1E293B"/>
          <w:sz w:val="20"/>
        </w:rPr>
        <w:t>Untuk presentasi berdurasi 8-10 menit, gunakan alur Skenario Peti Kemas Tunggal agar audiens dan penguji dapat menangkap keterkaitan antar modul:</w:t>
      </w:r>
    </w:p>
    <w:p>
      <w:pPr>
        <w:pStyle w:val="ListBullet"/>
        <w:spacing w:before="0" w:after="60" w:line="276" w:lineRule="auto"/>
      </w:pPr>
      <w:r>
        <w:rPr>
          <w:rFonts w:ascii="Calibri" w:hAnsi="Calibri"/>
          <w:b/>
          <w:color w:val="1E293B"/>
          <w:sz w:val="20"/>
        </w:rPr>
        <w:t xml:space="preserve">Skenario Utama: </w:t>
      </w:r>
      <w:r>
        <w:rPr>
          <w:rFonts w:ascii="Calibri" w:hAnsi="Calibri"/>
          <w:color w:val="1E293B"/>
          <w:sz w:val="20"/>
        </w:rPr>
        <w:t>Impor Tanjung Priok -&gt; Alih Muat Yard Blok B -&gt; Langsir KTT-01 ke CFS Rampa D2 -&gt; Pengiriman via KA Siding Pasoso.</w:t>
      </w:r>
    </w:p>
    <w:p>
      <w:pPr>
        <w:pStyle w:val="ListBullet"/>
        <w:spacing w:before="0" w:after="60" w:line="276" w:lineRule="auto"/>
      </w:pPr>
      <w:r>
        <w:rPr>
          <w:rFonts w:ascii="Calibri" w:hAnsi="Calibri"/>
          <w:b/>
          <w:color w:val="1E293B"/>
          <w:sz w:val="20"/>
        </w:rPr>
        <w:t xml:space="preserve">Nomor Kontainer: </w:t>
      </w:r>
      <w:r>
        <w:rPr>
          <w:rFonts w:ascii="Calibri" w:hAnsi="Calibri"/>
          <w:color w:val="1E293B"/>
          <w:sz w:val="20"/>
        </w:rPr>
        <w:t>MSKU9182374 (Ukuran: 40ft High Cube Dry, Pemilik: Maersk Line Indonesia).</w:t>
      </w:r>
    </w:p>
    <w:p>
      <w:pPr>
        <w:pStyle w:val="ListBullet"/>
        <w:spacing w:before="0" w:after="60" w:line="276" w:lineRule="auto"/>
      </w:pPr>
      <w:r>
        <w:rPr>
          <w:rFonts w:ascii="Calibri" w:hAnsi="Calibri"/>
          <w:b/>
          <w:color w:val="1E293B"/>
          <w:sz w:val="20"/>
        </w:rPr>
        <w:t xml:space="preserve">Armada Terlibat: </w:t>
      </w:r>
      <w:r>
        <w:rPr>
          <w:rFonts w:ascii="Calibri" w:hAnsi="Calibri"/>
          <w:color w:val="1E293B"/>
          <w:sz w:val="20"/>
        </w:rPr>
        <w:t>Truk Eksternal B 9182 TE (PT Trans Logistik Prima) dan Head Truck Langsir Internal KTT-01 (CIDP Fleet).</w:t>
      </w:r>
    </w:p>
    <w:p>
      <w:pPr>
        <w:pStyle w:val="ListBullet"/>
        <w:spacing w:before="0" w:after="60" w:line="276" w:lineRule="auto"/>
      </w:pPr>
      <w:r>
        <w:rPr>
          <w:rFonts w:ascii="Calibri" w:hAnsi="Calibri"/>
          <w:b/>
          <w:color w:val="1E293B"/>
          <w:sz w:val="20"/>
        </w:rPr>
        <w:t xml:space="preserve">Rantai Modul Dilalui: </w:t>
      </w:r>
      <w:r>
        <w:rPr>
          <w:rFonts w:ascii="Calibri" w:hAnsi="Calibri"/>
          <w:color w:val="1E293B"/>
          <w:sz w:val="20"/>
        </w:rPr>
        <w:t>Gate In -&gt; Yard Stacking -&gt; Langsir KTT -&gt; CFS WMS -&gt; Scanner Optik -&gt; KA Siding -&gt; Bea Cukai -&gt; Faktur Billing.</w:t>
      </w:r>
    </w:p>
    <w:p>
      <w:pPr>
        <w:keepNext/>
        <w:spacing w:before="360" w:after="120"/>
      </w:pPr>
      <w:r>
        <w:rPr>
          <w:rFonts w:ascii="Calibri" w:hAnsi="Calibri"/>
          <w:b/>
          <w:color w:val="004B87"/>
          <w:sz w:val="28"/>
        </w:rPr>
        <w:t>6. Panduan Langkah-demi-Langkah Demo Layar (Screen-by-Screen Script)</w:t>
      </w:r>
    </w:p>
    <w:p>
      <w:pPr>
        <w:keepNext/>
        <w:spacing w:before="240" w:after="80"/>
      </w:pPr>
      <w:r>
        <w:rPr>
          <w:rFonts w:ascii="Calibri" w:hAnsi="Calibri"/>
          <w:b/>
          <w:color w:val="EA580C"/>
          <w:sz w:val="24"/>
        </w:rPr>
        <w:t>Langkah 1: Beranda Eksekutif (dashboard.php?page=beranda)</w:t>
      </w:r>
    </w:p>
    <w:p>
      <w:pPr>
        <w:spacing w:before="0" w:after="100" w:line="276" w:lineRule="auto"/>
      </w:pPr>
      <w:r>
        <w:rPr>
          <w:rFonts w:ascii="Calibri" w:hAnsi="Calibri"/>
          <w:i w:val="0"/>
          <w:color w:val="1E293B"/>
          <w:sz w:val="20"/>
        </w:rPr>
        <w:t>Waktu: 1 Menit | Fokus: Orientasi Fasilitas 35 Ha &amp; Orkestrasi DPMS Triad.</w:t>
      </w:r>
    </w:p>
    <w:p>
      <w:pPr>
        <w:pStyle w:val="ListBullet"/>
        <w:spacing w:before="0" w:after="60" w:line="276" w:lineRule="auto"/>
      </w:pPr>
      <w:r>
        <w:rPr>
          <w:rFonts w:ascii="Calibri" w:hAnsi="Calibri"/>
          <w:b/>
          <w:color w:val="1E293B"/>
          <w:sz w:val="20"/>
        </w:rPr>
        <w:t xml:space="preserve">Aksi Demo: </w:t>
      </w:r>
      <w:r>
        <w:rPr>
          <w:rFonts w:ascii="Calibri" w:hAnsi="Calibri"/>
          <w:color w:val="1E293B"/>
          <w:sz w:val="20"/>
        </w:rPr>
        <w:t>Tunjukkan badge header: 'Konsol Eksekutif &amp; Telemetri Terpadu Dry Port (DPMS)' dan pill 'Orkestrasi YMS • TMS • WMS'.</w:t>
      </w:r>
    </w:p>
    <w:p>
      <w:pPr>
        <w:pStyle w:val="ListBullet"/>
        <w:spacing w:before="0" w:after="60" w:line="276" w:lineRule="auto"/>
      </w:pPr>
      <w:r>
        <w:rPr>
          <w:rFonts w:ascii="Calibri" w:hAnsi="Calibri"/>
          <w:b/>
          <w:color w:val="1E293B"/>
          <w:sz w:val="20"/>
        </w:rPr>
        <w:t xml:space="preserve">Aksi Demo: </w:t>
      </w:r>
      <w:r>
        <w:rPr>
          <w:rFonts w:ascii="Calibri" w:hAnsi="Calibri"/>
          <w:color w:val="1E293B"/>
          <w:sz w:val="20"/>
        </w:rPr>
        <w:t>Perlihatkan 4 shortcut Pusat Kendali IoT dengan label pilar: Gate &amp; Timbangan (TMS), CFS Rampa (WMS), Reefer (YMS), dan Denah 35 Ha.</w:t>
      </w:r>
    </w:p>
    <w:tbl>
      <w:tblPr>
        <w:tblW w:type="auto" w:w="0"/>
        <w:jc w:val="center"/>
        <w:tblLook w:firstColumn="1" w:firstRow="1" w:lastColumn="0" w:lastRow="0" w:noHBand="0" w:noVBand="1" w:val="04A0"/>
      </w:tblPr>
      <w:tblGrid>
        <w:gridCol w:w="9360"/>
      </w:tblGrid>
      <w:tr>
        <w:tc>
          <w:tcPr>
            <w:tcW w:type="dxa" w:w="9360"/>
            <w:shd w:fill="FFF7ED"/>
            <w:tcMar>
              <w:top w:w="100" w:type="dxa"/>
              <w:bottom w:w="100" w:type="dxa"/>
              <w:left w:w="180" w:type="dxa"/>
              <w:right w:w="150" w:type="dxa"/>
            </w:tcMar>
            <w:tcBorders>
              <w:top w:val="none"/>
              <w:left w:val="single" w:sz="24" w:space="0" w:color="EA580C"/>
              <w:bottom w:val="none"/>
              <w:right w:val="none"/>
            </w:tcBorders>
          </w:tcPr>
          <w:p>
            <w:pPr>
              <w:spacing w:before="0" w:after="0" w:line="276" w:lineRule="auto"/>
            </w:pPr>
            <w:r>
              <w:rPr>
                <w:rFonts w:ascii="Calibri" w:hAnsi="Calibri"/>
                <w:b/>
                <w:color w:val="EA580C"/>
                <w:sz w:val="19"/>
              </w:rPr>
              <w:t>Naskah Presentasi Langkah 1:</w:t>
              <w:br/>
            </w:r>
            <w:r>
              <w:rPr>
                <w:rFonts w:ascii="Calibri" w:hAnsi="Calibri"/>
                <w:i/>
                <w:color w:val="1E293B"/>
                <w:sz w:val="19"/>
              </w:rPr>
              <w:t>"Selamat pagi/siang Bapak Dr. Tigor Franky dan tim penguji. Selamat datang di presentasi Conclusion Intermodal Dry Port Management System (CIDP DPMS) 35 Hektar di Cikarang. Sistem yang kami bangun mengorkestrasikan tiga pilar utama: YMS untuk yard 35 Ha, TMS untuk sirkulasi jalan raya dan langsir internal, serta WMS untuk pergudangan konsolidasi CFS. Di Beranda Eksekutif ini, seluruh performa terminal terpantau dengan latensi di bawah 150 milidetik."</w:t>
            </w:r>
          </w:p>
        </w:tc>
      </w:tr>
    </w:tbl>
    <w:p>
      <w:pPr>
        <w:spacing w:before="0" w:after="80"/>
      </w:pPr>
    </w:p>
    <w:p>
      <w:pPr>
        <w:keepNext/>
        <w:spacing w:before="240" w:after="80"/>
      </w:pPr>
      <w:r>
        <w:rPr>
          <w:rFonts w:ascii="Calibri" w:hAnsi="Calibri"/>
          <w:b/>
          <w:color w:val="EA580C"/>
          <w:sz w:val="24"/>
        </w:rPr>
        <w:t>Langkah 2: Gerbang Masuk &amp; TMS Trucking (dashboard.php?page=trucking)</w:t>
      </w:r>
    </w:p>
    <w:p>
      <w:pPr>
        <w:spacing w:before="0" w:after="100" w:line="276" w:lineRule="auto"/>
      </w:pPr>
      <w:r>
        <w:rPr>
          <w:rFonts w:ascii="Calibri" w:hAnsi="Calibri"/>
          <w:i w:val="0"/>
          <w:color w:val="1E293B"/>
          <w:sz w:val="20"/>
        </w:rPr>
        <w:t>Waktu: 2.5 Menit | Fokus: Pilar TMS (Truk Eksternal vs Head Truck Langsir Internal KTT-01/02).</w:t>
      </w:r>
    </w:p>
    <w:p>
      <w:pPr>
        <w:pStyle w:val="ListBullet"/>
        <w:spacing w:before="0" w:after="60" w:line="276" w:lineRule="auto"/>
      </w:pPr>
      <w:r>
        <w:rPr>
          <w:rFonts w:ascii="Calibri" w:hAnsi="Calibri"/>
          <w:b/>
          <w:color w:val="1E293B"/>
          <w:sz w:val="20"/>
        </w:rPr>
        <w:t xml:space="preserve">Aksi Demo: </w:t>
      </w:r>
      <w:r>
        <w:rPr>
          <w:rFonts w:ascii="Calibri" w:hAnsi="Calibri"/>
          <w:color w:val="1E293B"/>
          <w:sz w:val="20"/>
        </w:rPr>
        <w:t>Buka menu Trucking &amp; Langsir. Tunjukkan filter dropdown: 'Semua / Truk Eksternal / Head Truck Langsir Internal'.</w:t>
      </w:r>
    </w:p>
    <w:p>
      <w:pPr>
        <w:pStyle w:val="ListBullet"/>
        <w:spacing w:before="0" w:after="60" w:line="276" w:lineRule="auto"/>
      </w:pPr>
      <w:r>
        <w:rPr>
          <w:rFonts w:ascii="Calibri" w:hAnsi="Calibri"/>
          <w:b/>
          <w:color w:val="1E293B"/>
          <w:sz w:val="20"/>
        </w:rPr>
        <w:t xml:space="preserve">Aksi Demo: </w:t>
      </w:r>
      <w:r>
        <w:rPr>
          <w:rFonts w:ascii="Calibri" w:hAnsi="Calibri"/>
          <w:color w:val="1E293B"/>
          <w:sz w:val="20"/>
        </w:rPr>
        <w:t>Sorot 3 unit Head Truck Langsir (KTT-01, KTT-02, KTT-03) berlabel oranye 'KTT CIDP • LANGSIR INTERNAL' dengan rute Siding KA Pasoso &lt;-&gt; CFS Rampa.</w:t>
      </w:r>
    </w:p>
    <w:p>
      <w:pPr>
        <w:pStyle w:val="ListBullet"/>
        <w:spacing w:before="0" w:after="60" w:line="276" w:lineRule="auto"/>
      </w:pPr>
      <w:r>
        <w:rPr>
          <w:rFonts w:ascii="Calibri" w:hAnsi="Calibri"/>
          <w:b/>
          <w:color w:val="1E293B"/>
          <w:sz w:val="20"/>
        </w:rPr>
        <w:t xml:space="preserve">Aksi Demo: </w:t>
      </w:r>
      <w:r>
        <w:rPr>
          <w:rFonts w:ascii="Calibri" w:hAnsi="Calibri"/>
          <w:color w:val="1E293B"/>
          <w:sz w:val="20"/>
        </w:rPr>
        <w:t>Klik baris KTT-01 untuk membuka modal Milestone Langsir 5 Tahap: Dispatching -&gt; Gandeng Chassis -&gt; Sirkulasi 35 Ha (Max 20 km/jam) -&gt; Serah Terima CFS -&gt; Siklus Selesai (Non-Gate Out).</w:t>
      </w:r>
    </w:p>
    <w:p>
      <w:pPr>
        <w:pStyle w:val="ListBullet"/>
        <w:spacing w:before="0" w:after="60" w:line="276" w:lineRule="auto"/>
      </w:pPr>
      <w:r>
        <w:rPr>
          <w:rFonts w:ascii="Calibri" w:hAnsi="Calibri"/>
          <w:b/>
          <w:color w:val="1E293B"/>
          <w:sz w:val="20"/>
        </w:rPr>
        <w:t xml:space="preserve">Aksi Demo: </w:t>
      </w:r>
      <w:r>
        <w:rPr>
          <w:rFonts w:ascii="Calibri" w:hAnsi="Calibri"/>
          <w:color w:val="1E293B"/>
          <w:sz w:val="20"/>
        </w:rPr>
        <w:t>Beralih ke filter 'Truk Eksternal', klik B 9182 TE untuk melihat sertifikasi timbang 80T SOLAS VGM dan TAT 21 menit.</w:t>
      </w:r>
    </w:p>
    <w:tbl>
      <w:tblPr>
        <w:tblW w:type="auto" w:w="0"/>
        <w:jc w:val="center"/>
        <w:tblLook w:firstColumn="1" w:firstRow="1" w:lastColumn="0" w:lastRow="0" w:noHBand="0" w:noVBand="1" w:val="04A0"/>
      </w:tblPr>
      <w:tblGrid>
        <w:gridCol w:w="9360"/>
      </w:tblGrid>
      <w:tr>
        <w:tc>
          <w:tcPr>
            <w:tcW w:type="dxa" w:w="9360"/>
            <w:shd w:fill="FFF7ED"/>
            <w:tcMar>
              <w:top w:w="100" w:type="dxa"/>
              <w:bottom w:w="100" w:type="dxa"/>
              <w:left w:w="180" w:type="dxa"/>
              <w:right w:w="150" w:type="dxa"/>
            </w:tcMar>
            <w:tcBorders>
              <w:top w:val="none"/>
              <w:left w:val="single" w:sz="24" w:space="0" w:color="EA580C"/>
              <w:bottom w:val="none"/>
              <w:right w:val="none"/>
            </w:tcBorders>
          </w:tcPr>
          <w:p>
            <w:pPr>
              <w:spacing w:before="0" w:after="0" w:line="276" w:lineRule="auto"/>
            </w:pPr>
            <w:r>
              <w:rPr>
                <w:rFonts w:ascii="Calibri" w:hAnsi="Calibri"/>
                <w:b/>
                <w:color w:val="EA580C"/>
                <w:sz w:val="19"/>
              </w:rPr>
              <w:t>Naskah Presentasi Langkah 2:</w:t>
              <w:br/>
            </w:r>
            <w:r>
              <w:rPr>
                <w:rFonts w:ascii="Calibri" w:hAnsi="Calibri"/>
                <w:i/>
                <w:color w:val="1E293B"/>
                <w:sz w:val="19"/>
              </w:rPr>
              <w:t>"Pada pilar TMS ini, terdapat pemisahan armada yang sangat penting: Pertama, truk jalan raya eksternal yang membawa kontainer dari tol via gerbang timbang 80 Ton SOLAS VGM. Kedua, Head Truck Langsir Internal (Terminal Tractor KTT-01). Truk ini adalah aset CIDP yang tidak pernah keluar ke jalan raya, melainkan bertugas khusus melakukan transfer intermodal berkecepatan tinggi antara Siding Rel KA Pasoso, Blok Penumpukan Yard, dan Gudang Konsolidasi CFS dengan siklus langsir rata-rata 8.5 menit."</w:t>
            </w:r>
          </w:p>
        </w:tc>
      </w:tr>
    </w:tbl>
    <w:p>
      <w:pPr>
        <w:spacing w:before="0" w:after="80"/>
      </w:pPr>
    </w:p>
    <w:p>
      <w:pPr>
        <w:keepNext/>
        <w:spacing w:before="240" w:after="80"/>
      </w:pPr>
      <w:r>
        <w:rPr>
          <w:rFonts w:ascii="Calibri" w:hAnsi="Calibri"/>
          <w:b/>
          <w:color w:val="EA580C"/>
          <w:sz w:val="24"/>
        </w:rPr>
        <w:t>Langkah 3: Denah Master 35 Ha (dashboard.php?page=denah)</w:t>
      </w:r>
    </w:p>
    <w:p>
      <w:pPr>
        <w:spacing w:before="0" w:after="100" w:line="276" w:lineRule="auto"/>
      </w:pPr>
      <w:r>
        <w:rPr>
          <w:rFonts w:ascii="Calibri" w:hAnsi="Calibri"/>
          <w:i w:val="0"/>
          <w:color w:val="1E293B"/>
          <w:sz w:val="20"/>
        </w:rPr>
        <w:t>Waktu: 1.5 Menit | Fokus: Digital Twin Spasial Arsitektural.</w:t>
      </w:r>
    </w:p>
    <w:p>
      <w:pPr>
        <w:pStyle w:val="ListBullet"/>
        <w:spacing w:before="0" w:after="60" w:line="276" w:lineRule="auto"/>
      </w:pPr>
      <w:r>
        <w:rPr>
          <w:rFonts w:ascii="Calibri" w:hAnsi="Calibri"/>
          <w:b/>
          <w:color w:val="1E293B"/>
          <w:sz w:val="20"/>
        </w:rPr>
        <w:t xml:space="preserve">Aksi Demo: </w:t>
      </w:r>
      <w:r>
        <w:rPr>
          <w:rFonts w:ascii="Calibri" w:hAnsi="Calibri"/>
          <w:color w:val="1E293B"/>
          <w:sz w:val="20"/>
        </w:rPr>
        <w:t>Tunjukkan site plan teknik sipil arsitektural (latar terang bergrid teknik).</w:t>
      </w:r>
    </w:p>
    <w:p>
      <w:pPr>
        <w:pStyle w:val="ListBullet"/>
        <w:spacing w:before="0" w:after="60" w:line="276" w:lineRule="auto"/>
      </w:pPr>
      <w:r>
        <w:rPr>
          <w:rFonts w:ascii="Calibri" w:hAnsi="Calibri"/>
          <w:b/>
          <w:color w:val="1E293B"/>
          <w:sz w:val="20"/>
        </w:rPr>
        <w:t xml:space="preserve">Aksi Demo: </w:t>
      </w:r>
      <w:r>
        <w:rPr>
          <w:rFonts w:ascii="Calibri" w:hAnsi="Calibri"/>
          <w:color w:val="1E293B"/>
          <w:sz w:val="20"/>
        </w:rPr>
        <w:t>Gunakan tombol floating zoom [+] dan geser denah untuk menunjukkan alur sirkulasi terpisah antara jalan truk luar dan perimeter langsir KTT.</w:t>
      </w:r>
    </w:p>
    <w:p>
      <w:pPr>
        <w:pStyle w:val="ListBullet"/>
        <w:spacing w:before="0" w:after="60" w:line="276" w:lineRule="auto"/>
      </w:pPr>
      <w:r>
        <w:rPr>
          <w:rFonts w:ascii="Calibri" w:hAnsi="Calibri"/>
          <w:b/>
          <w:color w:val="1E293B"/>
          <w:sz w:val="20"/>
        </w:rPr>
        <w:t xml:space="preserve">Aksi Demo: </w:t>
      </w:r>
      <w:r>
        <w:rPr>
          <w:rFonts w:ascii="Calibri" w:hAnsi="Calibri"/>
          <w:color w:val="1E293B"/>
          <w:sz w:val="20"/>
        </w:rPr>
        <w:t>Klik salah satu pin hardware (misal Pin HW-01 ANPR atau HW-10 Wheel Sensor) untuk membuka panel Inspector di sisi kanan.</w:t>
      </w:r>
    </w:p>
    <w:tbl>
      <w:tblPr>
        <w:tblW w:type="auto" w:w="0"/>
        <w:jc w:val="center"/>
        <w:tblLook w:firstColumn="1" w:firstRow="1" w:lastColumn="0" w:lastRow="0" w:noHBand="0" w:noVBand="1" w:val="04A0"/>
      </w:tblPr>
      <w:tblGrid>
        <w:gridCol w:w="9360"/>
      </w:tblGrid>
      <w:tr>
        <w:tc>
          <w:tcPr>
            <w:tcW w:type="dxa" w:w="9360"/>
            <w:shd w:fill="FFF7ED"/>
            <w:tcMar>
              <w:top w:w="100" w:type="dxa"/>
              <w:bottom w:w="100" w:type="dxa"/>
              <w:left w:w="180" w:type="dxa"/>
              <w:right w:w="150" w:type="dxa"/>
            </w:tcMar>
            <w:tcBorders>
              <w:top w:val="none"/>
              <w:left w:val="single" w:sz="24" w:space="0" w:color="EA580C"/>
              <w:bottom w:val="none"/>
              <w:right w:val="none"/>
            </w:tcBorders>
          </w:tcPr>
          <w:p>
            <w:pPr>
              <w:spacing w:before="0" w:after="0" w:line="276" w:lineRule="auto"/>
            </w:pPr>
            <w:r>
              <w:rPr>
                <w:rFonts w:ascii="Calibri" w:hAnsi="Calibri"/>
                <w:b/>
                <w:color w:val="EA580C"/>
                <w:sz w:val="19"/>
              </w:rPr>
              <w:t>Naskah Presentasi Langkah 3:</w:t>
              <w:br/>
            </w:r>
            <w:r>
              <w:rPr>
                <w:rFonts w:ascii="Calibri" w:hAnsi="Calibri"/>
                <w:i/>
                <w:color w:val="1E293B"/>
                <w:sz w:val="19"/>
              </w:rPr>
              <w:t>"Denah master ini menyajikan tata ruang 35 Ha dengan alur sirkulasi terpisah antara jalur highway drayage dan koridor khusus langsir terminal tractor agar tidak terjadi bottleneck. Seluruh 26 perangkat keras IoT terpetakan secara presisi."</w:t>
            </w:r>
          </w:p>
        </w:tc>
      </w:tr>
    </w:tbl>
    <w:p>
      <w:pPr>
        <w:spacing w:before="0" w:after="80"/>
      </w:pPr>
    </w:p>
    <w:p>
      <w:pPr>
        <w:keepNext/>
        <w:spacing w:before="240" w:after="80"/>
      </w:pPr>
      <w:r>
        <w:rPr>
          <w:rFonts w:ascii="Calibri" w:hAnsi="Calibri"/>
          <w:b/>
          <w:color w:val="EA580C"/>
          <w:sz w:val="24"/>
        </w:rPr>
        <w:t>Langkah 4: Penataan Yard &amp; Dispatching Alat Berat (dashboard.php?page=yard &amp; page=alat)</w:t>
      </w:r>
    </w:p>
    <w:p>
      <w:pPr>
        <w:spacing w:before="0" w:after="100" w:line="276" w:lineRule="auto"/>
      </w:pPr>
      <w:r>
        <w:rPr>
          <w:rFonts w:ascii="Calibri" w:hAnsi="Calibri"/>
          <w:i w:val="0"/>
          <w:color w:val="1E293B"/>
          <w:sz w:val="20"/>
        </w:rPr>
        <w:t>Waktu: 2 Menit | Fokus: Pilar YMS (Kapasitas Buffer 35 Ha &amp; Telemetri RTG/RS).</w:t>
      </w:r>
    </w:p>
    <w:p>
      <w:pPr>
        <w:pStyle w:val="ListBullet"/>
        <w:spacing w:before="0" w:after="60" w:line="276" w:lineRule="auto"/>
      </w:pPr>
      <w:r>
        <w:rPr>
          <w:rFonts w:ascii="Calibri" w:hAnsi="Calibri"/>
          <w:b/>
          <w:color w:val="1E293B"/>
          <w:sz w:val="20"/>
        </w:rPr>
        <w:t xml:space="preserve">Aksi Demo: </w:t>
      </w:r>
      <w:r>
        <w:rPr>
          <w:rFonts w:ascii="Calibri" w:hAnsi="Calibri"/>
          <w:color w:val="1E293B"/>
          <w:sz w:val="20"/>
        </w:rPr>
        <w:t>Buka modul Yard: perlihatkan okupansi TEU per blok (Blok A Dry 40ft, Blok B Dry 20ft, Reefer, Behandle Blok E).</w:t>
      </w:r>
    </w:p>
    <w:p>
      <w:pPr>
        <w:pStyle w:val="ListBullet"/>
        <w:spacing w:before="0" w:after="60" w:line="276" w:lineRule="auto"/>
      </w:pPr>
      <w:r>
        <w:rPr>
          <w:rFonts w:ascii="Calibri" w:hAnsi="Calibri"/>
          <w:b/>
          <w:color w:val="1E293B"/>
          <w:sz w:val="20"/>
        </w:rPr>
        <w:t xml:space="preserve">Aksi Demo: </w:t>
      </w:r>
      <w:r>
        <w:rPr>
          <w:rFonts w:ascii="Calibri" w:hAnsi="Calibri"/>
          <w:color w:val="1E293B"/>
          <w:sz w:val="20"/>
        </w:rPr>
        <w:t>Buka modul Alat Berat: tunjukkan radar live alat berat RS-01, RS-02, RS-03, dan RTG-01 di Rel Siding.</w:t>
      </w:r>
    </w:p>
    <w:p>
      <w:pPr>
        <w:pStyle w:val="ListBullet"/>
        <w:spacing w:before="0" w:after="60" w:line="276" w:lineRule="auto"/>
      </w:pPr>
      <w:r>
        <w:rPr>
          <w:rFonts w:ascii="Calibri" w:hAnsi="Calibri"/>
          <w:b/>
          <w:color w:val="1E293B"/>
          <w:sz w:val="20"/>
        </w:rPr>
        <w:t xml:space="preserve">Aksi Demo: </w:t>
      </w:r>
      <w:r>
        <w:rPr>
          <w:rFonts w:ascii="Calibri" w:hAnsi="Calibri"/>
          <w:color w:val="1E293B"/>
          <w:sz w:val="20"/>
        </w:rPr>
        <w:t>Tunjukkan tombol + Dispatch Job untuk penugasan Lift-Off peti kemas ke slot Bay-Row-Tier.</w:t>
      </w:r>
    </w:p>
    <w:tbl>
      <w:tblPr>
        <w:tblW w:type="auto" w:w="0"/>
        <w:jc w:val="center"/>
        <w:tblLook w:firstColumn="1" w:firstRow="1" w:lastColumn="0" w:lastRow="0" w:noHBand="0" w:noVBand="1" w:val="04A0"/>
      </w:tblPr>
      <w:tblGrid>
        <w:gridCol w:w="9360"/>
      </w:tblGrid>
      <w:tr>
        <w:tc>
          <w:tcPr>
            <w:tcW w:type="dxa" w:w="9360"/>
            <w:shd w:fill="FFF7ED"/>
            <w:tcMar>
              <w:top w:w="100" w:type="dxa"/>
              <w:bottom w:w="100" w:type="dxa"/>
              <w:left w:w="180" w:type="dxa"/>
              <w:right w:w="150" w:type="dxa"/>
            </w:tcMar>
            <w:tcBorders>
              <w:top w:val="none"/>
              <w:left w:val="single" w:sz="24" w:space="0" w:color="EA580C"/>
              <w:bottom w:val="none"/>
              <w:right w:val="none"/>
            </w:tcBorders>
          </w:tcPr>
          <w:p>
            <w:pPr>
              <w:spacing w:before="0" w:after="0" w:line="276" w:lineRule="auto"/>
            </w:pPr>
            <w:r>
              <w:rPr>
                <w:rFonts w:ascii="Calibri" w:hAnsi="Calibri"/>
                <w:b/>
                <w:color w:val="EA580C"/>
                <w:sz w:val="19"/>
              </w:rPr>
              <w:t>Naskah Presentasi Langkah 4:</w:t>
              <w:br/>
            </w:r>
            <w:r>
              <w:rPr>
                <w:rFonts w:ascii="Calibri" w:hAnsi="Calibri"/>
                <w:i/>
                <w:color w:val="1E293B"/>
                <w:sz w:val="19"/>
              </w:rPr>
              <w:t>"Pilar YMS mengelola jantung penumpukan 35 Ha. Melalui telemetri DGPS/RTK pada spreader crane RTG dan Reach Stacker, saat kontainer MSKU9182374 diturunkan di Blok B Bay 08 - Row 03 - Tier 02, koordinat langsung terkunci dan sistem mencatat biaya Lift-Off ke modul billing."</w:t>
            </w:r>
          </w:p>
        </w:tc>
      </w:tr>
    </w:tbl>
    <w:p>
      <w:pPr>
        <w:spacing w:before="0" w:after="80"/>
      </w:pPr>
    </w:p>
    <w:p>
      <w:pPr>
        <w:keepNext/>
        <w:spacing w:before="240" w:after="80"/>
      </w:pPr>
      <w:r>
        <w:rPr>
          <w:rFonts w:ascii="Calibri" w:hAnsi="Calibri"/>
          <w:b/>
          <w:color w:val="EA580C"/>
          <w:sz w:val="24"/>
        </w:rPr>
        <w:t>Langkah 5: Scanner Optik &amp; Check Digit (dashboard.php?page=scanner)</w:t>
      </w:r>
    </w:p>
    <w:p>
      <w:pPr>
        <w:spacing w:before="0" w:after="100" w:line="276" w:lineRule="auto"/>
      </w:pPr>
      <w:r>
        <w:rPr>
          <w:rFonts w:ascii="Calibri" w:hAnsi="Calibri"/>
          <w:i w:val="0"/>
          <w:color w:val="1E293B"/>
          <w:sz w:val="20"/>
        </w:rPr>
        <w:t>Waktu: 1 Menit | Fokus: Integritas Validasi AIDC ISO 6346.</w:t>
      </w:r>
    </w:p>
    <w:p>
      <w:pPr>
        <w:pStyle w:val="ListBullet"/>
        <w:spacing w:before="0" w:after="60" w:line="276" w:lineRule="auto"/>
      </w:pPr>
      <w:r>
        <w:rPr>
          <w:rFonts w:ascii="Calibri" w:hAnsi="Calibri"/>
          <w:b/>
          <w:color w:val="1E293B"/>
          <w:sz w:val="20"/>
        </w:rPr>
        <w:t xml:space="preserve">Aksi Demo: </w:t>
      </w:r>
      <w:r>
        <w:rPr>
          <w:rFonts w:ascii="Calibri" w:hAnsi="Calibri"/>
          <w:color w:val="1E293B"/>
          <w:sz w:val="20"/>
        </w:rPr>
        <w:t>Klik tab Uji Sampel Instan, pilih Peti Kemas ISO 6346 (MSKU9182374).</w:t>
      </w:r>
    </w:p>
    <w:p>
      <w:pPr>
        <w:pStyle w:val="ListBullet"/>
        <w:spacing w:before="0" w:after="60" w:line="276" w:lineRule="auto"/>
      </w:pPr>
      <w:r>
        <w:rPr>
          <w:rFonts w:ascii="Calibri" w:hAnsi="Calibri"/>
          <w:b/>
          <w:color w:val="1E293B"/>
          <w:sz w:val="20"/>
        </w:rPr>
        <w:t xml:space="preserve">Aksi Demo: </w:t>
      </w:r>
      <w:r>
        <w:rPr>
          <w:rFonts w:ascii="Calibri" w:hAnsi="Calibri"/>
          <w:color w:val="1E293B"/>
          <w:sz w:val="20"/>
        </w:rPr>
        <w:t>Tunjukkan pembuktian algoritma Modulo-11: Validasi Check Digit = VALID (4) dalam 42 milidetik.</w:t>
      </w:r>
    </w:p>
    <w:tbl>
      <w:tblPr>
        <w:tblW w:type="auto" w:w="0"/>
        <w:jc w:val="center"/>
        <w:tblLook w:firstColumn="1" w:firstRow="1" w:lastColumn="0" w:lastRow="0" w:noHBand="0" w:noVBand="1" w:val="04A0"/>
      </w:tblPr>
      <w:tblGrid>
        <w:gridCol w:w="9360"/>
      </w:tblGrid>
      <w:tr>
        <w:tc>
          <w:tcPr>
            <w:tcW w:type="dxa" w:w="9360"/>
            <w:shd w:fill="FFF7ED"/>
            <w:tcMar>
              <w:top w:w="100" w:type="dxa"/>
              <w:bottom w:w="100" w:type="dxa"/>
              <w:left w:w="180" w:type="dxa"/>
              <w:right w:w="150" w:type="dxa"/>
            </w:tcMar>
            <w:tcBorders>
              <w:top w:val="none"/>
              <w:left w:val="single" w:sz="24" w:space="0" w:color="EA580C"/>
              <w:bottom w:val="none"/>
              <w:right w:val="none"/>
            </w:tcBorders>
          </w:tcPr>
          <w:p>
            <w:pPr>
              <w:spacing w:before="0" w:after="0" w:line="276" w:lineRule="auto"/>
            </w:pPr>
            <w:r>
              <w:rPr>
                <w:rFonts w:ascii="Calibri" w:hAnsi="Calibri"/>
                <w:b/>
                <w:color w:val="EA580C"/>
                <w:sz w:val="19"/>
              </w:rPr>
              <w:t>Naskah Presentasi Langkah 5:</w:t>
              <w:br/>
            </w:r>
            <w:r>
              <w:rPr>
                <w:rFonts w:ascii="Calibri" w:hAnsi="Calibri"/>
                <w:i/>
                <w:color w:val="1E293B"/>
                <w:sz w:val="19"/>
              </w:rPr>
              <w:t>"Sistem kami mengimplementasikan algoritma verifikasi Check Digit standar ISO 6346 secara matematis di backend untuk memastikan boks kontainer valid, resmi terdaftar di manifes pelayaran, dan bukan boks palsu."</w:t>
            </w:r>
          </w:p>
        </w:tc>
      </w:tr>
    </w:tbl>
    <w:p>
      <w:pPr>
        <w:spacing w:before="0" w:after="80"/>
      </w:pPr>
    </w:p>
    <w:p>
      <w:pPr>
        <w:keepNext/>
        <w:spacing w:before="240" w:after="80"/>
      </w:pPr>
      <w:r>
        <w:rPr>
          <w:rFonts w:ascii="Calibri" w:hAnsi="Calibri"/>
          <w:b/>
          <w:color w:val="EA580C"/>
          <w:sz w:val="24"/>
        </w:rPr>
        <w:t>Langkah 6: Intermodal KA Siding Pasoso (dashboard.php?page=intermodal)</w:t>
      </w:r>
    </w:p>
    <w:p>
      <w:pPr>
        <w:spacing w:before="0" w:after="100" w:line="276" w:lineRule="auto"/>
      </w:pPr>
      <w:r>
        <w:rPr>
          <w:rFonts w:ascii="Calibri" w:hAnsi="Calibri"/>
          <w:i w:val="0"/>
          <w:color w:val="1E293B"/>
          <w:sz w:val="20"/>
        </w:rPr>
        <w:t>Waktu: 1.5 Menit | Fokus: Keunggulan Multimoda Kereta Api Bebas Macet.</w:t>
      </w:r>
    </w:p>
    <w:p>
      <w:pPr>
        <w:pStyle w:val="ListBullet"/>
        <w:spacing w:before="0" w:after="60" w:line="276" w:lineRule="auto"/>
      </w:pPr>
      <w:r>
        <w:rPr>
          <w:rFonts w:ascii="Calibri" w:hAnsi="Calibri"/>
          <w:b/>
          <w:color w:val="1E293B"/>
          <w:sz w:val="20"/>
        </w:rPr>
        <w:t xml:space="preserve">Aksi Demo: </w:t>
      </w:r>
      <w:r>
        <w:rPr>
          <w:rFonts w:ascii="Calibri" w:hAnsi="Calibri"/>
          <w:color w:val="1E293B"/>
          <w:sz w:val="20"/>
        </w:rPr>
        <w:t>Tunjukkan jadwal shuttle 24-jam Pasoso Tanjung Priok &lt;-&gt; CIDP Cikarang (54.8 KM).</w:t>
      </w:r>
    </w:p>
    <w:p>
      <w:pPr>
        <w:pStyle w:val="ListBullet"/>
        <w:spacing w:before="0" w:after="60" w:line="276" w:lineRule="auto"/>
      </w:pPr>
      <w:r>
        <w:rPr>
          <w:rFonts w:ascii="Calibri" w:hAnsi="Calibri"/>
          <w:b/>
          <w:color w:val="1E293B"/>
          <w:sz w:val="20"/>
        </w:rPr>
        <w:t xml:space="preserve">Aksi Demo: </w:t>
      </w:r>
      <w:r>
        <w:rPr>
          <w:rFonts w:ascii="Calibri" w:hAnsi="Calibri"/>
          <w:color w:val="1E293B"/>
          <w:sz w:val="20"/>
        </w:rPr>
        <w:t>Tunjukkan telemetri sensor gandar Frauscher Wheel Sensor SIL 4 (252 as roda per 2 rangkaian).</w:t>
      </w:r>
    </w:p>
    <w:tbl>
      <w:tblPr>
        <w:tblW w:type="auto" w:w="0"/>
        <w:jc w:val="center"/>
        <w:tblLook w:firstColumn="1" w:firstRow="1" w:lastColumn="0" w:lastRow="0" w:noHBand="0" w:noVBand="1" w:val="04A0"/>
      </w:tblPr>
      <w:tblGrid>
        <w:gridCol w:w="9360"/>
      </w:tblGrid>
      <w:tr>
        <w:tc>
          <w:tcPr>
            <w:tcW w:type="dxa" w:w="9360"/>
            <w:shd w:fill="FFF7ED"/>
            <w:tcMar>
              <w:top w:w="100" w:type="dxa"/>
              <w:bottom w:w="100" w:type="dxa"/>
              <w:left w:w="180" w:type="dxa"/>
              <w:right w:w="150" w:type="dxa"/>
            </w:tcMar>
            <w:tcBorders>
              <w:top w:val="none"/>
              <w:left w:val="single" w:sz="24" w:space="0" w:color="EA580C"/>
              <w:bottom w:val="none"/>
              <w:right w:val="none"/>
            </w:tcBorders>
          </w:tcPr>
          <w:p>
            <w:pPr>
              <w:spacing w:before="0" w:after="0" w:line="276" w:lineRule="auto"/>
            </w:pPr>
            <w:r>
              <w:rPr>
                <w:rFonts w:ascii="Calibri" w:hAnsi="Calibri"/>
                <w:b/>
                <w:color w:val="EA580C"/>
                <w:sz w:val="19"/>
              </w:rPr>
              <w:t>Naskah Presentasi Langkah 6:</w:t>
              <w:br/>
            </w:r>
            <w:r>
              <w:rPr>
                <w:rFonts w:ascii="Calibri" w:hAnsi="Calibri"/>
                <w:i/>
                <w:color w:val="1E293B"/>
                <w:sz w:val="19"/>
              </w:rPr>
              <w:t>"Fasilitas siding rel ganda 2 x 450 meter menghubungkan langsung dermaga Pelabuhan Tanjung Priok dengan CIDP Cikarang. Satu rangkaian KA membawa 60 TEU, memangkas 60 truk di jalan tol dan mengurangi emisi karbon hingga 76%."</w:t>
            </w:r>
          </w:p>
        </w:tc>
      </w:tr>
    </w:tbl>
    <w:p>
      <w:pPr>
        <w:spacing w:before="0" w:after="80"/>
      </w:pPr>
    </w:p>
    <w:p>
      <w:pPr>
        <w:keepNext/>
        <w:spacing w:before="240" w:after="80"/>
      </w:pPr>
      <w:r>
        <w:rPr>
          <w:rFonts w:ascii="Calibri" w:hAnsi="Calibri"/>
          <w:b/>
          <w:color w:val="EA580C"/>
          <w:sz w:val="24"/>
        </w:rPr>
        <w:t>Langkah 7: CFS Rampa D1-D5 &amp; Konsolidasi (dashboard.php?page=cfs)</w:t>
      </w:r>
    </w:p>
    <w:p>
      <w:pPr>
        <w:spacing w:before="0" w:after="100" w:line="276" w:lineRule="auto"/>
      </w:pPr>
      <w:r>
        <w:rPr>
          <w:rFonts w:ascii="Calibri" w:hAnsi="Calibri"/>
          <w:i w:val="0"/>
          <w:color w:val="1E293B"/>
          <w:sz w:val="20"/>
        </w:rPr>
        <w:t>Waktu: 1.5 Menit | Fokus: Pilar WMS (Gudang Konsolidasi LCL/FCL 12.000 m2).</w:t>
      </w:r>
    </w:p>
    <w:p>
      <w:pPr>
        <w:pStyle w:val="ListBullet"/>
        <w:spacing w:before="0" w:after="60" w:line="276" w:lineRule="auto"/>
      </w:pPr>
      <w:r>
        <w:rPr>
          <w:rFonts w:ascii="Calibri" w:hAnsi="Calibri"/>
          <w:b/>
          <w:color w:val="1E293B"/>
          <w:sz w:val="20"/>
        </w:rPr>
        <w:t xml:space="preserve">Aksi Demo: </w:t>
      </w:r>
      <w:r>
        <w:rPr>
          <w:rFonts w:ascii="Calibri" w:hAnsi="Calibri"/>
          <w:color w:val="1E293B"/>
          <w:sz w:val="20"/>
        </w:rPr>
        <w:t>Buka modul CFS Rampa D1-D5: perlihatkan 5 docking rampa bongkar-muat.</w:t>
      </w:r>
    </w:p>
    <w:p>
      <w:pPr>
        <w:pStyle w:val="ListBullet"/>
        <w:spacing w:before="0" w:after="60" w:line="276" w:lineRule="auto"/>
      </w:pPr>
      <w:r>
        <w:rPr>
          <w:rFonts w:ascii="Calibri" w:hAnsi="Calibri"/>
          <w:b/>
          <w:color w:val="1E293B"/>
          <w:sz w:val="20"/>
        </w:rPr>
        <w:t xml:space="preserve">Aksi Demo: </w:t>
      </w:r>
      <w:r>
        <w:rPr>
          <w:rFonts w:ascii="Calibri" w:hAnsi="Calibri"/>
          <w:color w:val="1E293B"/>
          <w:sz w:val="20"/>
        </w:rPr>
        <w:t>Tunjukkan integrasi sensor WMS: Timbangan Lantai Pallet 3 Ton (HW-17) dan Detektor Multigas Honeywell HW-19.</w:t>
      </w:r>
    </w:p>
    <w:p>
      <w:pPr>
        <w:pStyle w:val="ListBullet"/>
        <w:spacing w:before="0" w:after="60" w:line="276" w:lineRule="auto"/>
      </w:pPr>
      <w:r>
        <w:rPr>
          <w:rFonts w:ascii="Calibri" w:hAnsi="Calibri"/>
          <w:b/>
          <w:color w:val="1E293B"/>
          <w:sz w:val="20"/>
        </w:rPr>
        <w:t xml:space="preserve">Aksi Demo: </w:t>
      </w:r>
      <w:r>
        <w:rPr>
          <w:rFonts w:ascii="Calibri" w:hAnsi="Calibri"/>
          <w:color w:val="1E293B"/>
          <w:sz w:val="20"/>
        </w:rPr>
        <w:t>Jelaskan proses stripping kargo LCL yang diantar oleh head truck langsir KTT-01.</w:t>
      </w:r>
    </w:p>
    <w:tbl>
      <w:tblPr>
        <w:tblW w:type="auto" w:w="0"/>
        <w:jc w:val="center"/>
        <w:tblLook w:firstColumn="1" w:firstRow="1" w:lastColumn="0" w:lastRow="0" w:noHBand="0" w:noVBand="1" w:val="04A0"/>
      </w:tblPr>
      <w:tblGrid>
        <w:gridCol w:w="9360"/>
      </w:tblGrid>
      <w:tr>
        <w:tc>
          <w:tcPr>
            <w:tcW w:type="dxa" w:w="9360"/>
            <w:shd w:fill="FFF7ED"/>
            <w:tcMar>
              <w:top w:w="100" w:type="dxa"/>
              <w:bottom w:w="100" w:type="dxa"/>
              <w:left w:w="180" w:type="dxa"/>
              <w:right w:w="150" w:type="dxa"/>
            </w:tcMar>
            <w:tcBorders>
              <w:top w:val="none"/>
              <w:left w:val="single" w:sz="24" w:space="0" w:color="EA580C"/>
              <w:bottom w:val="none"/>
              <w:right w:val="none"/>
            </w:tcBorders>
          </w:tcPr>
          <w:p>
            <w:pPr>
              <w:spacing w:before="0" w:after="0" w:line="276" w:lineRule="auto"/>
            </w:pPr>
            <w:r>
              <w:rPr>
                <w:rFonts w:ascii="Calibri" w:hAnsi="Calibri"/>
                <w:b/>
                <w:color w:val="EA580C"/>
                <w:sz w:val="19"/>
              </w:rPr>
              <w:t>Naskah Presentasi Langkah 7:</w:t>
              <w:br/>
            </w:r>
            <w:r>
              <w:rPr>
                <w:rFonts w:ascii="Calibri" w:hAnsi="Calibri"/>
                <w:i/>
                <w:color w:val="1E293B"/>
                <w:sz w:val="19"/>
              </w:rPr>
              <w:t>"Inilah pilar WMS: fasilitas Container Freight Station seluas 12.000 m2. Saat kontainer LCL tiba menggunakan head truck langsir KTT-01, muatan dibongkar dan ditimbang dengan timbangan pallet 3 Ton, sementara sensor multigas HW-19 memastikan keselamatan kerja di gudang tertutup."</w:t>
            </w:r>
          </w:p>
        </w:tc>
      </w:tr>
    </w:tbl>
    <w:p>
      <w:pPr>
        <w:spacing w:before="0" w:after="80"/>
      </w:pPr>
    </w:p>
    <w:p>
      <w:pPr>
        <w:keepNext/>
        <w:spacing w:before="240" w:after="80"/>
      </w:pPr>
      <w:r>
        <w:rPr>
          <w:rFonts w:ascii="Calibri" w:hAnsi="Calibri"/>
          <w:b/>
          <w:color w:val="EA580C"/>
          <w:sz w:val="24"/>
        </w:rPr>
        <w:t>Langkah 8: Kepabeanan CEISA 4.0 DJBC (dashboard.php?page=customs)</w:t>
      </w:r>
    </w:p>
    <w:p>
      <w:pPr>
        <w:spacing w:before="0" w:after="100" w:line="276" w:lineRule="auto"/>
      </w:pPr>
      <w:r>
        <w:rPr>
          <w:rFonts w:ascii="Calibri" w:hAnsi="Calibri"/>
          <w:i w:val="0"/>
          <w:color w:val="1E293B"/>
          <w:sz w:val="20"/>
        </w:rPr>
        <w:t>Waktu: 1 Menit | Fokus: Tempat Penimbunan Pabean Mandiri.</w:t>
      </w:r>
    </w:p>
    <w:p>
      <w:pPr>
        <w:pStyle w:val="ListBullet"/>
        <w:spacing w:before="0" w:after="60" w:line="276" w:lineRule="auto"/>
      </w:pPr>
      <w:r>
        <w:rPr>
          <w:rFonts w:ascii="Calibri" w:hAnsi="Calibri"/>
          <w:b/>
          <w:color w:val="1E293B"/>
          <w:sz w:val="20"/>
        </w:rPr>
        <w:t xml:space="preserve">Aksi Demo: </w:t>
      </w:r>
      <w:r>
        <w:rPr>
          <w:rFonts w:ascii="Calibri" w:hAnsi="Calibri"/>
          <w:color w:val="1E293B"/>
          <w:sz w:val="20"/>
        </w:rPr>
        <w:t>Tunjukkan status Jalur Hijau auto-release SPPB (&lt; 3.2 detik) untuk importir AEO.</w:t>
      </w:r>
    </w:p>
    <w:p>
      <w:pPr>
        <w:pStyle w:val="ListBullet"/>
        <w:spacing w:before="0" w:after="60" w:line="276" w:lineRule="auto"/>
      </w:pPr>
      <w:r>
        <w:rPr>
          <w:rFonts w:ascii="Calibri" w:hAnsi="Calibri"/>
          <w:b/>
          <w:color w:val="1E293B"/>
          <w:sz w:val="20"/>
        </w:rPr>
        <w:t xml:space="preserve">Aksi Demo: </w:t>
      </w:r>
      <w:r>
        <w:rPr>
          <w:rFonts w:ascii="Calibri" w:hAnsi="Calibri"/>
          <w:color w:val="1E293B"/>
          <w:sz w:val="20"/>
        </w:rPr>
        <w:t>Jelaskan pengalihan otomatis ke Behandle Blok E jika terkena Jalur Merah.</w:t>
      </w:r>
    </w:p>
    <w:tbl>
      <w:tblPr>
        <w:tblW w:type="auto" w:w="0"/>
        <w:jc w:val="center"/>
        <w:tblLook w:firstColumn="1" w:firstRow="1" w:lastColumn="0" w:lastRow="0" w:noHBand="0" w:noVBand="1" w:val="04A0"/>
      </w:tblPr>
      <w:tblGrid>
        <w:gridCol w:w="9360"/>
      </w:tblGrid>
      <w:tr>
        <w:tc>
          <w:tcPr>
            <w:tcW w:type="dxa" w:w="9360"/>
            <w:shd w:fill="FFF7ED"/>
            <w:tcMar>
              <w:top w:w="100" w:type="dxa"/>
              <w:bottom w:w="100" w:type="dxa"/>
              <w:left w:w="180" w:type="dxa"/>
              <w:right w:w="150" w:type="dxa"/>
            </w:tcMar>
            <w:tcBorders>
              <w:top w:val="none"/>
              <w:left w:val="single" w:sz="24" w:space="0" w:color="EA580C"/>
              <w:bottom w:val="none"/>
              <w:right w:val="none"/>
            </w:tcBorders>
          </w:tcPr>
          <w:p>
            <w:pPr>
              <w:spacing w:before="0" w:after="0" w:line="276" w:lineRule="auto"/>
            </w:pPr>
            <w:r>
              <w:rPr>
                <w:rFonts w:ascii="Calibri" w:hAnsi="Calibri"/>
                <w:b/>
                <w:color w:val="EA580C"/>
                <w:sz w:val="19"/>
              </w:rPr>
              <w:t>Naskah Presentasi Langkah 8:</w:t>
              <w:br/>
            </w:r>
            <w:r>
              <w:rPr>
                <w:rFonts w:ascii="Calibri" w:hAnsi="Calibri"/>
                <w:i/>
                <w:color w:val="1E293B"/>
                <w:sz w:val="19"/>
              </w:rPr>
              <w:t>"Sebagai dry port resmi, CIDP memiliki pos pabean mandiri terhubung ke CEISA 4.0. Kontainer importir AEO otomatis terbit SPPB Jalur Hijau, sementara kargo berisiko dialihkan ke rampa Behandle Blok E."</w:t>
            </w:r>
          </w:p>
        </w:tc>
      </w:tr>
    </w:tbl>
    <w:p>
      <w:pPr>
        <w:spacing w:before="0" w:after="80"/>
      </w:pPr>
    </w:p>
    <w:p>
      <w:pPr>
        <w:keepNext/>
        <w:spacing w:before="240" w:after="80"/>
      </w:pPr>
      <w:r>
        <w:rPr>
          <w:rFonts w:ascii="Calibri" w:hAnsi="Calibri"/>
          <w:b/>
          <w:color w:val="EA580C"/>
          <w:sz w:val="24"/>
        </w:rPr>
        <w:t>Langkah 9: Penutupan Siklus Billing ERP (dashboard.php?page=billing)</w:t>
      </w:r>
    </w:p>
    <w:p>
      <w:pPr>
        <w:spacing w:before="0" w:after="100" w:line="276" w:lineRule="auto"/>
      </w:pPr>
      <w:r>
        <w:rPr>
          <w:rFonts w:ascii="Calibri" w:hAnsi="Calibri"/>
          <w:i w:val="0"/>
          <w:color w:val="1E293B"/>
          <w:sz w:val="20"/>
        </w:rPr>
        <w:t>Waktu: 1 Menit | Fokus: Penutupan Aliran Finansial.</w:t>
      </w:r>
    </w:p>
    <w:p>
      <w:pPr>
        <w:pStyle w:val="ListBullet"/>
        <w:spacing w:before="0" w:after="60" w:line="276" w:lineRule="auto"/>
      </w:pPr>
      <w:r>
        <w:rPr>
          <w:rFonts w:ascii="Calibri" w:hAnsi="Calibri"/>
          <w:b/>
          <w:color w:val="1E293B"/>
          <w:sz w:val="20"/>
        </w:rPr>
        <w:t xml:space="preserve">Aksi Demo: </w:t>
      </w:r>
      <w:r>
        <w:rPr>
          <w:rFonts w:ascii="Calibri" w:hAnsi="Calibri"/>
          <w:color w:val="1E293B"/>
          <w:sz w:val="20"/>
        </w:rPr>
        <w:t>Cari kontainer MSKU9182374 di tab Faktur &amp; Penagihan.</w:t>
      </w:r>
    </w:p>
    <w:p>
      <w:pPr>
        <w:pStyle w:val="ListBullet"/>
        <w:spacing w:before="0" w:after="60" w:line="276" w:lineRule="auto"/>
      </w:pPr>
      <w:r>
        <w:rPr>
          <w:rFonts w:ascii="Calibri" w:hAnsi="Calibri"/>
          <w:b/>
          <w:color w:val="1E293B"/>
          <w:sz w:val="20"/>
        </w:rPr>
        <w:t xml:space="preserve">Aksi Demo: </w:t>
      </w:r>
      <w:r>
        <w:rPr>
          <w:rFonts w:ascii="Calibri" w:hAnsi="Calibri"/>
          <w:color w:val="1E293B"/>
          <w:sz w:val="20"/>
        </w:rPr>
        <w:t>Tunjukkan breakdown otomatis: Gate Pass (Rp 50.000), Timbang VGM (Rp 150.000), Lift-Off (Rp 250.000), Dwell Masa 1 Free Time (Rp 0) = Total Rp 450.000 + PPN 11%.</w:t>
      </w:r>
    </w:p>
    <w:p>
      <w:pPr>
        <w:pStyle w:val="ListBullet"/>
        <w:spacing w:before="0" w:after="60" w:line="276" w:lineRule="auto"/>
      </w:pPr>
      <w:r>
        <w:rPr>
          <w:rFonts w:ascii="Calibri" w:hAnsi="Calibri"/>
          <w:b/>
          <w:color w:val="1E293B"/>
          <w:sz w:val="20"/>
        </w:rPr>
        <w:t xml:space="preserve">Aksi Demo: </w:t>
      </w:r>
      <w:r>
        <w:rPr>
          <w:rFonts w:ascii="Calibri" w:hAnsi="Calibri"/>
          <w:color w:val="1E293B"/>
          <w:sz w:val="20"/>
        </w:rPr>
        <w:t>Tunjukkan payload JSON tersinkronisasi ke ERP Odoo keuangan terminal.</w:t>
      </w:r>
    </w:p>
    <w:tbl>
      <w:tblPr>
        <w:tblW w:type="auto" w:w="0"/>
        <w:jc w:val="center"/>
        <w:tblLook w:firstColumn="1" w:firstRow="1" w:lastColumn="0" w:lastRow="0" w:noHBand="0" w:noVBand="1" w:val="04A0"/>
      </w:tblPr>
      <w:tblGrid>
        <w:gridCol w:w="9360"/>
      </w:tblGrid>
      <w:tr>
        <w:tc>
          <w:tcPr>
            <w:tcW w:type="dxa" w:w="9360"/>
            <w:shd w:fill="FFF7ED"/>
            <w:tcMar>
              <w:top w:w="100" w:type="dxa"/>
              <w:bottom w:w="100" w:type="dxa"/>
              <w:left w:w="180" w:type="dxa"/>
              <w:right w:w="150" w:type="dxa"/>
            </w:tcMar>
            <w:tcBorders>
              <w:top w:val="none"/>
              <w:left w:val="single" w:sz="24" w:space="0" w:color="EA580C"/>
              <w:bottom w:val="none"/>
              <w:right w:val="none"/>
            </w:tcBorders>
          </w:tcPr>
          <w:p>
            <w:pPr>
              <w:spacing w:before="0" w:after="0" w:line="276" w:lineRule="auto"/>
            </w:pPr>
            <w:r>
              <w:rPr>
                <w:rFonts w:ascii="Calibri" w:hAnsi="Calibri"/>
                <w:b/>
                <w:color w:val="EA580C"/>
                <w:sz w:val="19"/>
              </w:rPr>
              <w:t>Naskah Presentasi Langkah 9:</w:t>
              <w:br/>
            </w:r>
            <w:r>
              <w:rPr>
                <w:rFonts w:ascii="Calibri" w:hAnsi="Calibri"/>
                <w:i/>
                <w:color w:val="1E293B"/>
                <w:sz w:val="19"/>
              </w:rPr>
              <w:t>"Seluruh aktivitas fisik YMS, transportasi TMS, dan pergudangan WMS bermuara pada penagihan otomatis di modul Billing. Faktur tersinkronkan ke ERP Odoo, dan setelah pembayaran diverifikasi, sistem menerbitkan SP2B untuk menyelesaikan siklus Gate-Out."</w:t>
            </w:r>
          </w:p>
        </w:tc>
      </w:tr>
    </w:tbl>
    <w:p>
      <w:pPr>
        <w:spacing w:before="0" w:after="80"/>
      </w:pPr>
    </w:p>
    <w:p>
      <w:pPr>
        <w:keepNext/>
        <w:spacing w:before="360" w:after="120"/>
      </w:pPr>
      <w:r>
        <w:rPr>
          <w:rFonts w:ascii="Calibri" w:hAnsi="Calibri"/>
          <w:b/>
          <w:color w:val="004B87"/>
          <w:sz w:val="28"/>
        </w:rPr>
        <w:t>7. Matriks Perubahan Tabel Basis Data (Database Lifecycle State)</w:t>
      </w:r>
    </w:p>
    <w:p>
      <w:pPr>
        <w:spacing w:before="0" w:after="100" w:line="276" w:lineRule="auto"/>
      </w:pPr>
      <w:r>
        <w:rPr>
          <w:rFonts w:ascii="Calibri" w:hAnsi="Calibri"/>
          <w:i w:val="0"/>
          <w:color w:val="1E293B"/>
          <w:sz w:val="20"/>
        </w:rPr>
        <w:t>Tabel berikut membuktikan arsitektur event-driven pada basis data relasional CIDP:</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004B87"/>
            <w:tcMar>
              <w:top w:w="60" w:type="dxa"/>
              <w:bottom w:w="60" w:type="dxa"/>
              <w:left w:w="80" w:type="dxa"/>
              <w:right w:w="80" w:type="dxa"/>
            </w:tcMar>
          </w:tcPr>
          <w:p>
            <w:r>
              <w:rPr>
                <w:rFonts w:ascii="Calibri" w:hAnsi="Calibri"/>
                <w:b/>
                <w:color w:val="FFFFFF"/>
                <w:sz w:val="17"/>
              </w:rPr>
              <w:t>Tahap Operasi</w:t>
            </w:r>
          </w:p>
        </w:tc>
        <w:tc>
          <w:tcPr>
            <w:tcW w:type="dxa" w:w="1560"/>
            <w:shd w:fill="004B87"/>
            <w:tcMar>
              <w:top w:w="60" w:type="dxa"/>
              <w:bottom w:w="60" w:type="dxa"/>
              <w:left w:w="80" w:type="dxa"/>
              <w:right w:w="80" w:type="dxa"/>
            </w:tcMar>
          </w:tcPr>
          <w:p>
            <w:r>
              <w:rPr>
                <w:rFonts w:ascii="Calibri" w:hAnsi="Calibri"/>
                <w:b/>
                <w:color w:val="FFFFFF"/>
                <w:sz w:val="17"/>
              </w:rPr>
              <w:t>Pilar</w:t>
            </w:r>
          </w:p>
        </w:tc>
        <w:tc>
          <w:tcPr>
            <w:tcW w:type="dxa" w:w="1560"/>
            <w:shd w:fill="004B87"/>
            <w:tcMar>
              <w:top w:w="60" w:type="dxa"/>
              <w:bottom w:w="60" w:type="dxa"/>
              <w:left w:w="80" w:type="dxa"/>
              <w:right w:w="80" w:type="dxa"/>
            </w:tcMar>
          </w:tcPr>
          <w:p>
            <w:r>
              <w:rPr>
                <w:rFonts w:ascii="Calibri" w:hAnsi="Calibri"/>
                <w:b/>
                <w:color w:val="FFFFFF"/>
                <w:sz w:val="17"/>
              </w:rPr>
              <w:t>Tabel</w:t>
            </w:r>
          </w:p>
        </w:tc>
        <w:tc>
          <w:tcPr>
            <w:tcW w:type="dxa" w:w="1560"/>
            <w:shd w:fill="004B87"/>
            <w:tcMar>
              <w:top w:w="60" w:type="dxa"/>
              <w:bottom w:w="60" w:type="dxa"/>
              <w:left w:w="80" w:type="dxa"/>
              <w:right w:w="80" w:type="dxa"/>
            </w:tcMar>
          </w:tcPr>
          <w:p>
            <w:r>
              <w:rPr>
                <w:rFonts w:ascii="Calibri" w:hAnsi="Calibri"/>
                <w:b/>
                <w:color w:val="FFFFFF"/>
                <w:sz w:val="17"/>
              </w:rPr>
              <w:t>Sebelum Event</w:t>
            </w:r>
          </w:p>
        </w:tc>
        <w:tc>
          <w:tcPr>
            <w:tcW w:type="dxa" w:w="1560"/>
            <w:shd w:fill="004B87"/>
            <w:tcMar>
              <w:top w:w="60" w:type="dxa"/>
              <w:bottom w:w="60" w:type="dxa"/>
              <w:left w:w="80" w:type="dxa"/>
              <w:right w:w="80" w:type="dxa"/>
            </w:tcMar>
          </w:tcPr>
          <w:p>
            <w:r>
              <w:rPr>
                <w:rFonts w:ascii="Calibri" w:hAnsi="Calibri"/>
                <w:b/>
                <w:color w:val="FFFFFF"/>
                <w:sz w:val="17"/>
              </w:rPr>
              <w:t>Sesudah Event</w:t>
            </w:r>
          </w:p>
        </w:tc>
        <w:tc>
          <w:tcPr>
            <w:tcW w:type="dxa" w:w="1560"/>
            <w:shd w:fill="004B87"/>
            <w:tcMar>
              <w:top w:w="60" w:type="dxa"/>
              <w:bottom w:w="60" w:type="dxa"/>
              <w:left w:w="80" w:type="dxa"/>
              <w:right w:w="80" w:type="dxa"/>
            </w:tcMar>
          </w:tcPr>
          <w:p>
            <w:r>
              <w:rPr>
                <w:rFonts w:ascii="Calibri" w:hAnsi="Calibri"/>
                <w:b/>
                <w:color w:val="FFFFFF"/>
                <w:sz w:val="17"/>
              </w:rPr>
              <w:t>Trigger Sensor</w:t>
            </w:r>
          </w:p>
        </w:tc>
      </w:tr>
      <w:tr>
        <w:tc>
          <w:tcPr>
            <w:tcW w:type="dxa" w:w="1560"/>
            <w:shd w:fill="FFFFFF"/>
            <w:tcMar>
              <w:top w:w="50" w:type="dxa"/>
              <w:bottom w:w="50" w:type="dxa"/>
              <w:left w:w="60" w:type="dxa"/>
              <w:right w:w="60" w:type="dxa"/>
            </w:tcMar>
          </w:tcPr>
          <w:p>
            <w:r>
              <w:rPr>
                <w:rFonts w:ascii="Calibri" w:hAnsi="Calibri"/>
                <w:color w:val="1E293B"/>
                <w:sz w:val="16"/>
              </w:rPr>
              <w:t>0. Pre-Advise</w:t>
            </w:r>
          </w:p>
        </w:tc>
        <w:tc>
          <w:tcPr>
            <w:tcW w:type="dxa" w:w="1560"/>
            <w:shd w:fill="FFFFFF"/>
            <w:tcMar>
              <w:top w:w="50" w:type="dxa"/>
              <w:bottom w:w="50" w:type="dxa"/>
              <w:left w:w="60" w:type="dxa"/>
              <w:right w:w="60" w:type="dxa"/>
            </w:tcMar>
          </w:tcPr>
          <w:p>
            <w:r>
              <w:rPr>
                <w:rFonts w:ascii="Calibri" w:hAnsi="Calibri"/>
                <w:color w:val="1E293B"/>
                <w:sz w:val="16"/>
              </w:rPr>
              <w:t>TMS</w:t>
            </w:r>
          </w:p>
        </w:tc>
        <w:tc>
          <w:tcPr>
            <w:tcW w:type="dxa" w:w="1560"/>
            <w:shd w:fill="FFFFFF"/>
            <w:tcMar>
              <w:top w:w="50" w:type="dxa"/>
              <w:bottom w:w="50" w:type="dxa"/>
              <w:left w:w="60" w:type="dxa"/>
              <w:right w:w="60" w:type="dxa"/>
            </w:tcMar>
          </w:tcPr>
          <w:p>
            <w:r>
              <w:rPr>
                <w:rFonts w:ascii="Calibri" w:hAnsi="Calibri"/>
                <w:color w:val="1E293B"/>
                <w:sz w:val="16"/>
              </w:rPr>
              <w:t>trucks</w:t>
              <w:br/>
              <w:t>containers</w:t>
            </w:r>
          </w:p>
        </w:tc>
        <w:tc>
          <w:tcPr>
            <w:tcW w:type="dxa" w:w="1560"/>
            <w:shd w:fill="FFFFFF"/>
            <w:tcMar>
              <w:top w:w="50" w:type="dxa"/>
              <w:bottom w:w="50" w:type="dxa"/>
              <w:left w:w="60" w:type="dxa"/>
              <w:right w:w="60" w:type="dxa"/>
            </w:tcMar>
          </w:tcPr>
          <w:p>
            <w:r>
              <w:rPr>
                <w:rFonts w:ascii="Calibri" w:hAnsi="Calibri"/>
                <w:color w:val="1E293B"/>
                <w:sz w:val="16"/>
              </w:rPr>
              <w:t>status: (kosong)</w:t>
              <w:br/>
              <w:t>status: in_transit</w:t>
            </w:r>
          </w:p>
        </w:tc>
        <w:tc>
          <w:tcPr>
            <w:tcW w:type="dxa" w:w="1560"/>
            <w:shd w:fill="FFFFFF"/>
            <w:tcMar>
              <w:top w:w="50" w:type="dxa"/>
              <w:bottom w:w="50" w:type="dxa"/>
              <w:left w:w="60" w:type="dxa"/>
              <w:right w:w="60" w:type="dxa"/>
            </w:tcMar>
          </w:tcPr>
          <w:p>
            <w:r>
              <w:rPr>
                <w:rFonts w:ascii="Calibri" w:hAnsi="Calibri"/>
                <w:color w:val="1E293B"/>
                <w:sz w:val="16"/>
              </w:rPr>
              <w:t>status: queuing</w:t>
              <w:br/>
              <w:t>status: in_transit</w:t>
            </w:r>
          </w:p>
        </w:tc>
        <w:tc>
          <w:tcPr>
            <w:tcW w:type="dxa" w:w="1560"/>
            <w:shd w:fill="FFFFFF"/>
            <w:tcMar>
              <w:top w:w="50" w:type="dxa"/>
              <w:bottom w:w="50" w:type="dxa"/>
              <w:left w:w="60" w:type="dxa"/>
              <w:right w:w="60" w:type="dxa"/>
            </w:tcMar>
          </w:tcPr>
          <w:p>
            <w:r>
              <w:rPr>
                <w:rFonts w:ascii="Calibri" w:hAnsi="Calibri"/>
                <w:color w:val="1E293B"/>
                <w:sz w:val="16"/>
              </w:rPr>
              <w:t>EDI Manifest / DO API</w:t>
            </w:r>
          </w:p>
        </w:tc>
      </w:tr>
      <w:tr>
        <w:tc>
          <w:tcPr>
            <w:tcW w:type="dxa" w:w="1560"/>
            <w:shd w:fill="F8FAFC"/>
            <w:tcMar>
              <w:top w:w="50" w:type="dxa"/>
              <w:bottom w:w="50" w:type="dxa"/>
              <w:left w:w="60" w:type="dxa"/>
              <w:right w:w="60" w:type="dxa"/>
            </w:tcMar>
          </w:tcPr>
          <w:p>
            <w:r>
              <w:rPr>
                <w:rFonts w:ascii="Calibri" w:hAnsi="Calibri"/>
                <w:color w:val="1E293B"/>
                <w:sz w:val="16"/>
              </w:rPr>
              <w:t>1. Gate-In</w:t>
            </w:r>
          </w:p>
        </w:tc>
        <w:tc>
          <w:tcPr>
            <w:tcW w:type="dxa" w:w="1560"/>
            <w:shd w:fill="F8FAFC"/>
            <w:tcMar>
              <w:top w:w="50" w:type="dxa"/>
              <w:bottom w:w="50" w:type="dxa"/>
              <w:left w:w="60" w:type="dxa"/>
              <w:right w:w="60" w:type="dxa"/>
            </w:tcMar>
          </w:tcPr>
          <w:p>
            <w:r>
              <w:rPr>
                <w:rFonts w:ascii="Calibri" w:hAnsi="Calibri"/>
                <w:color w:val="1E293B"/>
                <w:sz w:val="16"/>
              </w:rPr>
              <w:t>TMS</w:t>
            </w:r>
          </w:p>
        </w:tc>
        <w:tc>
          <w:tcPr>
            <w:tcW w:type="dxa" w:w="1560"/>
            <w:shd w:fill="F8FAFC"/>
            <w:tcMar>
              <w:top w:w="50" w:type="dxa"/>
              <w:bottom w:w="50" w:type="dxa"/>
              <w:left w:w="60" w:type="dxa"/>
              <w:right w:w="60" w:type="dxa"/>
            </w:tcMar>
          </w:tcPr>
          <w:p>
            <w:r>
              <w:rPr>
                <w:rFonts w:ascii="Calibri" w:hAnsi="Calibri"/>
                <w:color w:val="1E293B"/>
                <w:sz w:val="16"/>
              </w:rPr>
              <w:t>trucks</w:t>
              <w:br/>
              <w:t>yard_events</w:t>
            </w:r>
          </w:p>
        </w:tc>
        <w:tc>
          <w:tcPr>
            <w:tcW w:type="dxa" w:w="1560"/>
            <w:shd w:fill="F8FAFC"/>
            <w:tcMar>
              <w:top w:w="50" w:type="dxa"/>
              <w:bottom w:w="50" w:type="dxa"/>
              <w:left w:w="60" w:type="dxa"/>
              <w:right w:w="60" w:type="dxa"/>
            </w:tcMar>
          </w:tcPr>
          <w:p>
            <w:r>
              <w:rPr>
                <w:rFonts w:ascii="Calibri" w:hAnsi="Calibri"/>
                <w:color w:val="1E293B"/>
                <w:sz w:val="16"/>
              </w:rPr>
              <w:t>status: queuing</w:t>
              <w:br/>
              <w:t>(Baru)</w:t>
            </w:r>
          </w:p>
        </w:tc>
        <w:tc>
          <w:tcPr>
            <w:tcW w:type="dxa" w:w="1560"/>
            <w:shd w:fill="F8FAFC"/>
            <w:tcMar>
              <w:top w:w="50" w:type="dxa"/>
              <w:bottom w:w="50" w:type="dxa"/>
              <w:left w:w="60" w:type="dxa"/>
              <w:right w:w="60" w:type="dxa"/>
            </w:tcMar>
          </w:tcPr>
          <w:p>
            <w:r>
              <w:rPr>
                <w:rFonts w:ascii="Calibri" w:hAnsi="Calibri"/>
                <w:color w:val="1E293B"/>
                <w:sz w:val="16"/>
              </w:rPr>
              <w:t>status: at_gate</w:t>
              <w:br/>
              <w:t>event: GATE_IN</w:t>
            </w:r>
          </w:p>
        </w:tc>
        <w:tc>
          <w:tcPr>
            <w:tcW w:type="dxa" w:w="1560"/>
            <w:shd w:fill="F8FAFC"/>
            <w:tcMar>
              <w:top w:w="50" w:type="dxa"/>
              <w:bottom w:w="50" w:type="dxa"/>
              <w:left w:w="60" w:type="dxa"/>
              <w:right w:w="60" w:type="dxa"/>
            </w:tcMar>
          </w:tcPr>
          <w:p>
            <w:r>
              <w:rPr>
                <w:rFonts w:ascii="Calibri" w:hAnsi="Calibri"/>
                <w:color w:val="1E293B"/>
                <w:sz w:val="16"/>
              </w:rPr>
              <w:t>Loop Detector + ANPR HW-01</w:t>
            </w:r>
          </w:p>
        </w:tc>
      </w:tr>
      <w:tr>
        <w:tc>
          <w:tcPr>
            <w:tcW w:type="dxa" w:w="1560"/>
            <w:shd w:fill="FFFFFF"/>
            <w:tcMar>
              <w:top w:w="50" w:type="dxa"/>
              <w:bottom w:w="50" w:type="dxa"/>
              <w:left w:w="60" w:type="dxa"/>
              <w:right w:w="60" w:type="dxa"/>
            </w:tcMar>
          </w:tcPr>
          <w:p>
            <w:r>
              <w:rPr>
                <w:rFonts w:ascii="Calibri" w:hAnsi="Calibri"/>
                <w:color w:val="1E293B"/>
                <w:sz w:val="16"/>
              </w:rPr>
              <w:t>2. Timbang VGM</w:t>
            </w:r>
          </w:p>
        </w:tc>
        <w:tc>
          <w:tcPr>
            <w:tcW w:type="dxa" w:w="1560"/>
            <w:shd w:fill="FFFFFF"/>
            <w:tcMar>
              <w:top w:w="50" w:type="dxa"/>
              <w:bottom w:w="50" w:type="dxa"/>
              <w:left w:w="60" w:type="dxa"/>
              <w:right w:w="60" w:type="dxa"/>
            </w:tcMar>
          </w:tcPr>
          <w:p>
            <w:r>
              <w:rPr>
                <w:rFonts w:ascii="Calibri" w:hAnsi="Calibri"/>
                <w:color w:val="1E293B"/>
                <w:sz w:val="16"/>
              </w:rPr>
              <w:t>TMS</w:t>
            </w:r>
          </w:p>
        </w:tc>
        <w:tc>
          <w:tcPr>
            <w:tcW w:type="dxa" w:w="1560"/>
            <w:shd w:fill="FFFFFF"/>
            <w:tcMar>
              <w:top w:w="50" w:type="dxa"/>
              <w:bottom w:w="50" w:type="dxa"/>
              <w:left w:w="60" w:type="dxa"/>
              <w:right w:w="60" w:type="dxa"/>
            </w:tcMar>
          </w:tcPr>
          <w:p>
            <w:r>
              <w:rPr>
                <w:rFonts w:ascii="Calibri" w:hAnsi="Calibri"/>
                <w:color w:val="1E293B"/>
                <w:sz w:val="16"/>
              </w:rPr>
              <w:t>trucks</w:t>
            </w:r>
          </w:p>
        </w:tc>
        <w:tc>
          <w:tcPr>
            <w:tcW w:type="dxa" w:w="1560"/>
            <w:shd w:fill="FFFFFF"/>
            <w:tcMar>
              <w:top w:w="50" w:type="dxa"/>
              <w:bottom w:w="50" w:type="dxa"/>
              <w:left w:w="60" w:type="dxa"/>
              <w:right w:w="60" w:type="dxa"/>
            </w:tcMar>
          </w:tcPr>
          <w:p>
            <w:r>
              <w:rPr>
                <w:rFonts w:ascii="Calibri" w:hAnsi="Calibri"/>
                <w:color w:val="1E293B"/>
                <w:sz w:val="16"/>
              </w:rPr>
              <w:t>weight_gross: 0</w:t>
            </w:r>
          </w:p>
        </w:tc>
        <w:tc>
          <w:tcPr>
            <w:tcW w:type="dxa" w:w="1560"/>
            <w:shd w:fill="FFFFFF"/>
            <w:tcMar>
              <w:top w:w="50" w:type="dxa"/>
              <w:bottom w:w="50" w:type="dxa"/>
              <w:left w:w="60" w:type="dxa"/>
              <w:right w:w="60" w:type="dxa"/>
            </w:tcMar>
          </w:tcPr>
          <w:p>
            <w:r>
              <w:rPr>
                <w:rFonts w:ascii="Calibri" w:hAnsi="Calibri"/>
                <w:color w:val="1E293B"/>
                <w:sz w:val="16"/>
              </w:rPr>
              <w:t>weight_gross: 34.200</w:t>
              <w:br/>
              <w:t>weight_net: 21.700</w:t>
            </w:r>
          </w:p>
        </w:tc>
        <w:tc>
          <w:tcPr>
            <w:tcW w:type="dxa" w:w="1560"/>
            <w:shd w:fill="FFFFFF"/>
            <w:tcMar>
              <w:top w:w="50" w:type="dxa"/>
              <w:bottom w:w="50" w:type="dxa"/>
              <w:left w:w="60" w:type="dxa"/>
              <w:right w:w="60" w:type="dxa"/>
            </w:tcMar>
          </w:tcPr>
          <w:p>
            <w:r>
              <w:rPr>
                <w:rFonts w:ascii="Calibri" w:hAnsi="Calibri"/>
                <w:color w:val="1E293B"/>
                <w:sz w:val="16"/>
              </w:rPr>
              <w:t>Jembatan Timbang 80T HW-03</w:t>
            </w:r>
          </w:p>
        </w:tc>
      </w:tr>
      <w:tr>
        <w:tc>
          <w:tcPr>
            <w:tcW w:type="dxa" w:w="1560"/>
            <w:shd w:fill="F8FAFC"/>
            <w:tcMar>
              <w:top w:w="50" w:type="dxa"/>
              <w:bottom w:w="50" w:type="dxa"/>
              <w:left w:w="60" w:type="dxa"/>
              <w:right w:w="60" w:type="dxa"/>
            </w:tcMar>
          </w:tcPr>
          <w:p>
            <w:r>
              <w:rPr>
                <w:rFonts w:ascii="Calibri" w:hAnsi="Calibri"/>
                <w:color w:val="1E293B"/>
                <w:sz w:val="16"/>
              </w:rPr>
              <w:t>3. Yard Lift-Off</w:t>
            </w:r>
          </w:p>
        </w:tc>
        <w:tc>
          <w:tcPr>
            <w:tcW w:type="dxa" w:w="1560"/>
            <w:shd w:fill="F8FAFC"/>
            <w:tcMar>
              <w:top w:w="50" w:type="dxa"/>
              <w:bottom w:w="50" w:type="dxa"/>
              <w:left w:w="60" w:type="dxa"/>
              <w:right w:w="60" w:type="dxa"/>
            </w:tcMar>
          </w:tcPr>
          <w:p>
            <w:r>
              <w:rPr>
                <w:rFonts w:ascii="Calibri" w:hAnsi="Calibri"/>
                <w:color w:val="1E293B"/>
                <w:sz w:val="16"/>
              </w:rPr>
              <w:t>YMS</w:t>
            </w:r>
          </w:p>
        </w:tc>
        <w:tc>
          <w:tcPr>
            <w:tcW w:type="dxa" w:w="1560"/>
            <w:shd w:fill="F8FAFC"/>
            <w:tcMar>
              <w:top w:w="50" w:type="dxa"/>
              <w:bottom w:w="50" w:type="dxa"/>
              <w:left w:w="60" w:type="dxa"/>
              <w:right w:w="60" w:type="dxa"/>
            </w:tcMar>
          </w:tcPr>
          <w:p>
            <w:r>
              <w:rPr>
                <w:rFonts w:ascii="Calibri" w:hAnsi="Calibri"/>
                <w:color w:val="1E293B"/>
                <w:sz w:val="16"/>
              </w:rPr>
              <w:t>containers</w:t>
              <w:br/>
              <w:t>yard_events</w:t>
            </w:r>
          </w:p>
        </w:tc>
        <w:tc>
          <w:tcPr>
            <w:tcW w:type="dxa" w:w="1560"/>
            <w:shd w:fill="F8FAFC"/>
            <w:tcMar>
              <w:top w:w="50" w:type="dxa"/>
              <w:bottom w:w="50" w:type="dxa"/>
              <w:left w:w="60" w:type="dxa"/>
              <w:right w:w="60" w:type="dxa"/>
            </w:tcMar>
          </w:tcPr>
          <w:p>
            <w:r>
              <w:rPr>
                <w:rFonts w:ascii="Calibri" w:hAnsi="Calibri"/>
                <w:color w:val="1E293B"/>
                <w:sz w:val="16"/>
              </w:rPr>
              <w:t>block: NULL</w:t>
              <w:br/>
              <w:t>(Baru)</w:t>
            </w:r>
          </w:p>
        </w:tc>
        <w:tc>
          <w:tcPr>
            <w:tcW w:type="dxa" w:w="1560"/>
            <w:shd w:fill="F8FAFC"/>
            <w:tcMar>
              <w:top w:w="50" w:type="dxa"/>
              <w:bottom w:w="50" w:type="dxa"/>
              <w:left w:w="60" w:type="dxa"/>
              <w:right w:w="60" w:type="dxa"/>
            </w:tcMar>
          </w:tcPr>
          <w:p>
            <w:r>
              <w:rPr>
                <w:rFonts w:ascii="Calibri" w:hAnsi="Calibri"/>
                <w:color w:val="1E293B"/>
                <w:sz w:val="16"/>
              </w:rPr>
              <w:t>block: B, bay: 08, r: 03</w:t>
              <w:br/>
              <w:t>event: LIFT_OFF</w:t>
            </w:r>
          </w:p>
        </w:tc>
        <w:tc>
          <w:tcPr>
            <w:tcW w:type="dxa" w:w="1560"/>
            <w:shd w:fill="F8FAFC"/>
            <w:tcMar>
              <w:top w:w="50" w:type="dxa"/>
              <w:bottom w:w="50" w:type="dxa"/>
              <w:left w:w="60" w:type="dxa"/>
              <w:right w:w="60" w:type="dxa"/>
            </w:tcMar>
          </w:tcPr>
          <w:p>
            <w:r>
              <w:rPr>
                <w:rFonts w:ascii="Calibri" w:hAnsi="Calibri"/>
                <w:color w:val="1E293B"/>
                <w:sz w:val="16"/>
              </w:rPr>
              <w:t>Twistlock Spreader RS-02</w:t>
            </w:r>
          </w:p>
        </w:tc>
      </w:tr>
      <w:tr>
        <w:tc>
          <w:tcPr>
            <w:tcW w:type="dxa" w:w="1560"/>
            <w:shd w:fill="FFFFFF"/>
            <w:tcMar>
              <w:top w:w="50" w:type="dxa"/>
              <w:bottom w:w="50" w:type="dxa"/>
              <w:left w:w="60" w:type="dxa"/>
              <w:right w:w="60" w:type="dxa"/>
            </w:tcMar>
          </w:tcPr>
          <w:p>
            <w:r>
              <w:rPr>
                <w:rFonts w:ascii="Calibri" w:hAnsi="Calibri"/>
                <w:color w:val="1E293B"/>
                <w:sz w:val="16"/>
              </w:rPr>
              <w:t>4. Langsir KTT</w:t>
            </w:r>
          </w:p>
        </w:tc>
        <w:tc>
          <w:tcPr>
            <w:tcW w:type="dxa" w:w="1560"/>
            <w:shd w:fill="FFFFFF"/>
            <w:tcMar>
              <w:top w:w="50" w:type="dxa"/>
              <w:bottom w:w="50" w:type="dxa"/>
              <w:left w:w="60" w:type="dxa"/>
              <w:right w:w="60" w:type="dxa"/>
            </w:tcMar>
          </w:tcPr>
          <w:p>
            <w:r>
              <w:rPr>
                <w:rFonts w:ascii="Calibri" w:hAnsi="Calibri"/>
                <w:color w:val="1E293B"/>
                <w:sz w:val="16"/>
              </w:rPr>
              <w:t>TMS</w:t>
            </w:r>
          </w:p>
        </w:tc>
        <w:tc>
          <w:tcPr>
            <w:tcW w:type="dxa" w:w="1560"/>
            <w:shd w:fill="FFFFFF"/>
            <w:tcMar>
              <w:top w:w="50" w:type="dxa"/>
              <w:bottom w:w="50" w:type="dxa"/>
              <w:left w:w="60" w:type="dxa"/>
              <w:right w:w="60" w:type="dxa"/>
            </w:tcMar>
          </w:tcPr>
          <w:p>
            <w:r>
              <w:rPr>
                <w:rFonts w:ascii="Calibri" w:hAnsi="Calibri"/>
                <w:color w:val="1E293B"/>
                <w:sz w:val="16"/>
              </w:rPr>
              <w:t>trucks (KTT)</w:t>
              <w:br/>
              <w:t>yard_events</w:t>
            </w:r>
          </w:p>
        </w:tc>
        <w:tc>
          <w:tcPr>
            <w:tcW w:type="dxa" w:w="1560"/>
            <w:shd w:fill="FFFFFF"/>
            <w:tcMar>
              <w:top w:w="50" w:type="dxa"/>
              <w:bottom w:w="50" w:type="dxa"/>
              <w:left w:w="60" w:type="dxa"/>
              <w:right w:w="60" w:type="dxa"/>
            </w:tcMar>
          </w:tcPr>
          <w:p>
            <w:r>
              <w:rPr>
                <w:rFonts w:ascii="Calibri" w:hAnsi="Calibri"/>
                <w:color w:val="1E293B"/>
                <w:sz w:val="16"/>
              </w:rPr>
              <w:t>status: in_yard</w:t>
              <w:br/>
              <w:t>(Baru)</w:t>
            </w:r>
          </w:p>
        </w:tc>
        <w:tc>
          <w:tcPr>
            <w:tcW w:type="dxa" w:w="1560"/>
            <w:shd w:fill="FFFFFF"/>
            <w:tcMar>
              <w:top w:w="50" w:type="dxa"/>
              <w:bottom w:w="50" w:type="dxa"/>
              <w:left w:w="60" w:type="dxa"/>
              <w:right w:w="60" w:type="dxa"/>
            </w:tcMar>
          </w:tcPr>
          <w:p>
            <w:r>
              <w:rPr>
                <w:rFonts w:ascii="Calibri" w:hAnsi="Calibri"/>
                <w:color w:val="1E293B"/>
                <w:sz w:val="16"/>
              </w:rPr>
              <w:t>status: in_yard (Langsir)</w:t>
              <w:br/>
              <w:t>event: SHUNTING</w:t>
            </w:r>
          </w:p>
        </w:tc>
        <w:tc>
          <w:tcPr>
            <w:tcW w:type="dxa" w:w="1560"/>
            <w:shd w:fill="FFFFFF"/>
            <w:tcMar>
              <w:top w:w="50" w:type="dxa"/>
              <w:bottom w:w="50" w:type="dxa"/>
              <w:left w:w="60" w:type="dxa"/>
              <w:right w:w="60" w:type="dxa"/>
            </w:tcMar>
          </w:tcPr>
          <w:p>
            <w:r>
              <w:rPr>
                <w:rFonts w:ascii="Calibri" w:hAnsi="Calibri"/>
                <w:color w:val="1E293B"/>
                <w:sz w:val="16"/>
              </w:rPr>
              <w:t>Dispatching YMS/TMS Controller</w:t>
            </w:r>
          </w:p>
        </w:tc>
      </w:tr>
      <w:tr>
        <w:tc>
          <w:tcPr>
            <w:tcW w:type="dxa" w:w="1560"/>
            <w:shd w:fill="F8FAFC"/>
            <w:tcMar>
              <w:top w:w="50" w:type="dxa"/>
              <w:bottom w:w="50" w:type="dxa"/>
              <w:left w:w="60" w:type="dxa"/>
              <w:right w:w="60" w:type="dxa"/>
            </w:tcMar>
          </w:tcPr>
          <w:p>
            <w:r>
              <w:rPr>
                <w:rFonts w:ascii="Calibri" w:hAnsi="Calibri"/>
                <w:color w:val="1E293B"/>
                <w:sz w:val="16"/>
              </w:rPr>
              <w:t>5. Stripping CFS</w:t>
            </w:r>
          </w:p>
        </w:tc>
        <w:tc>
          <w:tcPr>
            <w:tcW w:type="dxa" w:w="1560"/>
            <w:shd w:fill="F8FAFC"/>
            <w:tcMar>
              <w:top w:w="50" w:type="dxa"/>
              <w:bottom w:w="50" w:type="dxa"/>
              <w:left w:w="60" w:type="dxa"/>
              <w:right w:w="60" w:type="dxa"/>
            </w:tcMar>
          </w:tcPr>
          <w:p>
            <w:r>
              <w:rPr>
                <w:rFonts w:ascii="Calibri" w:hAnsi="Calibri"/>
                <w:color w:val="1E293B"/>
                <w:sz w:val="16"/>
              </w:rPr>
              <w:t>WMS</w:t>
            </w:r>
          </w:p>
        </w:tc>
        <w:tc>
          <w:tcPr>
            <w:tcW w:type="dxa" w:w="1560"/>
            <w:shd w:fill="F8FAFC"/>
            <w:tcMar>
              <w:top w:w="50" w:type="dxa"/>
              <w:bottom w:w="50" w:type="dxa"/>
              <w:left w:w="60" w:type="dxa"/>
              <w:right w:w="60" w:type="dxa"/>
            </w:tcMar>
          </w:tcPr>
          <w:p>
            <w:r>
              <w:rPr>
                <w:rFonts w:ascii="Calibri" w:hAnsi="Calibri"/>
                <w:color w:val="1E293B"/>
                <w:sz w:val="16"/>
              </w:rPr>
              <w:t>cfs_cargo</w:t>
              <w:br/>
              <w:t>yard_events</w:t>
            </w:r>
          </w:p>
        </w:tc>
        <w:tc>
          <w:tcPr>
            <w:tcW w:type="dxa" w:w="1560"/>
            <w:shd w:fill="F8FAFC"/>
            <w:tcMar>
              <w:top w:w="50" w:type="dxa"/>
              <w:bottom w:w="50" w:type="dxa"/>
              <w:left w:w="60" w:type="dxa"/>
              <w:right w:w="60" w:type="dxa"/>
            </w:tcMar>
          </w:tcPr>
          <w:p>
            <w:r>
              <w:rPr>
                <w:rFonts w:ascii="Calibri" w:hAnsi="Calibri"/>
                <w:color w:val="1E293B"/>
                <w:sz w:val="16"/>
              </w:rPr>
              <w:t>pallet_count: 0</w:t>
              <w:br/>
              <w:t>(Baru)</w:t>
            </w:r>
          </w:p>
        </w:tc>
        <w:tc>
          <w:tcPr>
            <w:tcW w:type="dxa" w:w="1560"/>
            <w:shd w:fill="F8FAFC"/>
            <w:tcMar>
              <w:top w:w="50" w:type="dxa"/>
              <w:bottom w:w="50" w:type="dxa"/>
              <w:left w:w="60" w:type="dxa"/>
              <w:right w:w="60" w:type="dxa"/>
            </w:tcMar>
          </w:tcPr>
          <w:p>
            <w:r>
              <w:rPr>
                <w:rFonts w:ascii="Calibri" w:hAnsi="Calibri"/>
                <w:color w:val="1E293B"/>
                <w:sz w:val="16"/>
              </w:rPr>
              <w:t>pallet_count: 24</w:t>
              <w:br/>
              <w:t>event: CFS_STRIPPING</w:t>
            </w:r>
          </w:p>
        </w:tc>
        <w:tc>
          <w:tcPr>
            <w:tcW w:type="dxa" w:w="1560"/>
            <w:shd w:fill="F8FAFC"/>
            <w:tcMar>
              <w:top w:w="50" w:type="dxa"/>
              <w:bottom w:w="50" w:type="dxa"/>
              <w:left w:w="60" w:type="dxa"/>
              <w:right w:w="60" w:type="dxa"/>
            </w:tcMar>
          </w:tcPr>
          <w:p>
            <w:r>
              <w:rPr>
                <w:rFonts w:ascii="Calibri" w:hAnsi="Calibri"/>
                <w:color w:val="1E293B"/>
                <w:sz w:val="16"/>
              </w:rPr>
              <w:t>Barcode HW-18 + Pallet Scale HW-17</w:t>
            </w:r>
          </w:p>
        </w:tc>
      </w:tr>
      <w:tr>
        <w:tc>
          <w:tcPr>
            <w:tcW w:type="dxa" w:w="1560"/>
            <w:shd w:fill="FFFFFF"/>
            <w:tcMar>
              <w:top w:w="50" w:type="dxa"/>
              <w:bottom w:w="50" w:type="dxa"/>
              <w:left w:w="60" w:type="dxa"/>
              <w:right w:w="60" w:type="dxa"/>
            </w:tcMar>
          </w:tcPr>
          <w:p>
            <w:r>
              <w:rPr>
                <w:rFonts w:ascii="Calibri" w:hAnsi="Calibri"/>
                <w:color w:val="1E293B"/>
                <w:sz w:val="16"/>
              </w:rPr>
              <w:t>6. Klirens Pabean</w:t>
            </w:r>
          </w:p>
        </w:tc>
        <w:tc>
          <w:tcPr>
            <w:tcW w:type="dxa" w:w="1560"/>
            <w:shd w:fill="FFFFFF"/>
            <w:tcMar>
              <w:top w:w="50" w:type="dxa"/>
              <w:bottom w:w="50" w:type="dxa"/>
              <w:left w:w="60" w:type="dxa"/>
              <w:right w:w="60" w:type="dxa"/>
            </w:tcMar>
          </w:tcPr>
          <w:p>
            <w:r>
              <w:rPr>
                <w:rFonts w:ascii="Calibri" w:hAnsi="Calibri"/>
                <w:color w:val="1E293B"/>
                <w:sz w:val="16"/>
              </w:rPr>
              <w:t>Compliance</w:t>
            </w:r>
          </w:p>
        </w:tc>
        <w:tc>
          <w:tcPr>
            <w:tcW w:type="dxa" w:w="1560"/>
            <w:shd w:fill="FFFFFF"/>
            <w:tcMar>
              <w:top w:w="50" w:type="dxa"/>
              <w:bottom w:w="50" w:type="dxa"/>
              <w:left w:w="60" w:type="dxa"/>
              <w:right w:w="60" w:type="dxa"/>
            </w:tcMar>
          </w:tcPr>
          <w:p>
            <w:r>
              <w:rPr>
                <w:rFonts w:ascii="Calibri" w:hAnsi="Calibri"/>
                <w:color w:val="1E293B"/>
                <w:sz w:val="16"/>
              </w:rPr>
              <w:t>containers</w:t>
            </w:r>
          </w:p>
        </w:tc>
        <w:tc>
          <w:tcPr>
            <w:tcW w:type="dxa" w:w="1560"/>
            <w:shd w:fill="FFFFFF"/>
            <w:tcMar>
              <w:top w:w="50" w:type="dxa"/>
              <w:bottom w:w="50" w:type="dxa"/>
              <w:left w:w="60" w:type="dxa"/>
              <w:right w:w="60" w:type="dxa"/>
            </w:tcMar>
          </w:tcPr>
          <w:p>
            <w:r>
              <w:rPr>
                <w:rFonts w:ascii="Calibri" w:hAnsi="Calibri"/>
                <w:color w:val="1E293B"/>
                <w:sz w:val="16"/>
              </w:rPr>
              <w:t>customs: HOLD</w:t>
            </w:r>
          </w:p>
        </w:tc>
        <w:tc>
          <w:tcPr>
            <w:tcW w:type="dxa" w:w="1560"/>
            <w:shd w:fill="FFFFFF"/>
            <w:tcMar>
              <w:top w:w="50" w:type="dxa"/>
              <w:bottom w:w="50" w:type="dxa"/>
              <w:left w:w="60" w:type="dxa"/>
              <w:right w:w="60" w:type="dxa"/>
            </w:tcMar>
          </w:tcPr>
          <w:p>
            <w:r>
              <w:rPr>
                <w:rFonts w:ascii="Calibri" w:hAnsi="Calibri"/>
                <w:color w:val="1E293B"/>
                <w:sz w:val="16"/>
              </w:rPr>
              <w:t>customs: SPPB_CLEARED</w:t>
            </w:r>
          </w:p>
        </w:tc>
        <w:tc>
          <w:tcPr>
            <w:tcW w:type="dxa" w:w="1560"/>
            <w:shd w:fill="FFFFFF"/>
            <w:tcMar>
              <w:top w:w="50" w:type="dxa"/>
              <w:bottom w:w="50" w:type="dxa"/>
              <w:left w:w="60" w:type="dxa"/>
              <w:right w:w="60" w:type="dxa"/>
            </w:tcMar>
          </w:tcPr>
          <w:p>
            <w:r>
              <w:rPr>
                <w:rFonts w:ascii="Calibri" w:hAnsi="Calibri"/>
                <w:color w:val="1E293B"/>
                <w:sz w:val="16"/>
              </w:rPr>
              <w:t>REST API CEISA 4.0 DJBC</w:t>
            </w:r>
          </w:p>
        </w:tc>
      </w:tr>
      <w:tr>
        <w:tc>
          <w:tcPr>
            <w:tcW w:type="dxa" w:w="1560"/>
            <w:shd w:fill="F8FAFC"/>
            <w:tcMar>
              <w:top w:w="50" w:type="dxa"/>
              <w:bottom w:w="50" w:type="dxa"/>
              <w:left w:w="60" w:type="dxa"/>
              <w:right w:w="60" w:type="dxa"/>
            </w:tcMar>
          </w:tcPr>
          <w:p>
            <w:r>
              <w:rPr>
                <w:rFonts w:ascii="Calibri" w:hAnsi="Calibri"/>
                <w:color w:val="1E293B"/>
                <w:sz w:val="16"/>
              </w:rPr>
              <w:t>7. Alih Muat KA</w:t>
            </w:r>
          </w:p>
        </w:tc>
        <w:tc>
          <w:tcPr>
            <w:tcW w:type="dxa" w:w="1560"/>
            <w:shd w:fill="F8FAFC"/>
            <w:tcMar>
              <w:top w:w="50" w:type="dxa"/>
              <w:bottom w:w="50" w:type="dxa"/>
              <w:left w:w="60" w:type="dxa"/>
              <w:right w:w="60" w:type="dxa"/>
            </w:tcMar>
          </w:tcPr>
          <w:p>
            <w:r>
              <w:rPr>
                <w:rFonts w:ascii="Calibri" w:hAnsi="Calibri"/>
                <w:color w:val="1E293B"/>
                <w:sz w:val="16"/>
              </w:rPr>
              <w:t>TMS &amp; YMS</w:t>
            </w:r>
          </w:p>
        </w:tc>
        <w:tc>
          <w:tcPr>
            <w:tcW w:type="dxa" w:w="1560"/>
            <w:shd w:fill="F8FAFC"/>
            <w:tcMar>
              <w:top w:w="50" w:type="dxa"/>
              <w:bottom w:w="50" w:type="dxa"/>
              <w:left w:w="60" w:type="dxa"/>
              <w:right w:w="60" w:type="dxa"/>
            </w:tcMar>
          </w:tcPr>
          <w:p>
            <w:r>
              <w:rPr>
                <w:rFonts w:ascii="Calibri" w:hAnsi="Calibri"/>
                <w:color w:val="1E293B"/>
                <w:sz w:val="16"/>
              </w:rPr>
              <w:t>trains</w:t>
              <w:br/>
              <w:t>yard_events</w:t>
            </w:r>
          </w:p>
        </w:tc>
        <w:tc>
          <w:tcPr>
            <w:tcW w:type="dxa" w:w="1560"/>
            <w:shd w:fill="F8FAFC"/>
            <w:tcMar>
              <w:top w:w="50" w:type="dxa"/>
              <w:bottom w:w="50" w:type="dxa"/>
              <w:left w:w="60" w:type="dxa"/>
              <w:right w:w="60" w:type="dxa"/>
            </w:tcMar>
          </w:tcPr>
          <w:p>
            <w:r>
              <w:rPr>
                <w:rFonts w:ascii="Calibri" w:hAnsi="Calibri"/>
                <w:color w:val="1E293B"/>
                <w:sz w:val="16"/>
              </w:rPr>
              <w:t>loaded: 29 gerbong</w:t>
              <w:br/>
              <w:t>(Baru)</w:t>
            </w:r>
          </w:p>
        </w:tc>
        <w:tc>
          <w:tcPr>
            <w:tcW w:type="dxa" w:w="1560"/>
            <w:shd w:fill="F8FAFC"/>
            <w:tcMar>
              <w:top w:w="50" w:type="dxa"/>
              <w:bottom w:w="50" w:type="dxa"/>
              <w:left w:w="60" w:type="dxa"/>
              <w:right w:w="60" w:type="dxa"/>
            </w:tcMar>
          </w:tcPr>
          <w:p>
            <w:r>
              <w:rPr>
                <w:rFonts w:ascii="Calibri" w:hAnsi="Calibri"/>
                <w:color w:val="1E293B"/>
                <w:sz w:val="16"/>
              </w:rPr>
              <w:t>loaded: 30 gerbong</w:t>
              <w:br/>
              <w:t>event: RAIL_LOAD</w:t>
            </w:r>
          </w:p>
        </w:tc>
        <w:tc>
          <w:tcPr>
            <w:tcW w:type="dxa" w:w="1560"/>
            <w:shd w:fill="F8FAFC"/>
            <w:tcMar>
              <w:top w:w="50" w:type="dxa"/>
              <w:bottom w:w="50" w:type="dxa"/>
              <w:left w:w="60" w:type="dxa"/>
              <w:right w:w="60" w:type="dxa"/>
            </w:tcMar>
          </w:tcPr>
          <w:p>
            <w:r>
              <w:rPr>
                <w:rFonts w:ascii="Calibri" w:hAnsi="Calibri"/>
                <w:color w:val="1E293B"/>
                <w:sz w:val="16"/>
              </w:rPr>
              <w:t>Derek RTG-01 + Wheel Sensor</w:t>
            </w:r>
          </w:p>
        </w:tc>
      </w:tr>
      <w:tr>
        <w:tc>
          <w:tcPr>
            <w:tcW w:type="dxa" w:w="1560"/>
            <w:shd w:fill="FFFFFF"/>
            <w:tcMar>
              <w:top w:w="50" w:type="dxa"/>
              <w:bottom w:w="50" w:type="dxa"/>
              <w:left w:w="60" w:type="dxa"/>
              <w:right w:w="60" w:type="dxa"/>
            </w:tcMar>
          </w:tcPr>
          <w:p>
            <w:r>
              <w:rPr>
                <w:rFonts w:ascii="Calibri" w:hAnsi="Calibri"/>
                <w:color w:val="1E293B"/>
                <w:sz w:val="16"/>
              </w:rPr>
              <w:t>8. Penagihan</w:t>
            </w:r>
          </w:p>
        </w:tc>
        <w:tc>
          <w:tcPr>
            <w:tcW w:type="dxa" w:w="1560"/>
            <w:shd w:fill="FFFFFF"/>
            <w:tcMar>
              <w:top w:w="50" w:type="dxa"/>
              <w:bottom w:w="50" w:type="dxa"/>
              <w:left w:w="60" w:type="dxa"/>
              <w:right w:w="60" w:type="dxa"/>
            </w:tcMar>
          </w:tcPr>
          <w:p>
            <w:r>
              <w:rPr>
                <w:rFonts w:ascii="Calibri" w:hAnsi="Calibri"/>
                <w:color w:val="1E293B"/>
                <w:sz w:val="16"/>
              </w:rPr>
              <w:t>Finance</w:t>
            </w:r>
          </w:p>
        </w:tc>
        <w:tc>
          <w:tcPr>
            <w:tcW w:type="dxa" w:w="1560"/>
            <w:shd w:fill="FFFFFF"/>
            <w:tcMar>
              <w:top w:w="50" w:type="dxa"/>
              <w:bottom w:w="50" w:type="dxa"/>
              <w:left w:w="60" w:type="dxa"/>
              <w:right w:w="60" w:type="dxa"/>
            </w:tcMar>
          </w:tcPr>
          <w:p>
            <w:r>
              <w:rPr>
                <w:rFonts w:ascii="Calibri" w:hAnsi="Calibri"/>
                <w:color w:val="1E293B"/>
                <w:sz w:val="16"/>
              </w:rPr>
              <w:t>billing_invoices</w:t>
            </w:r>
          </w:p>
        </w:tc>
        <w:tc>
          <w:tcPr>
            <w:tcW w:type="dxa" w:w="1560"/>
            <w:shd w:fill="FFFFFF"/>
            <w:tcMar>
              <w:top w:w="50" w:type="dxa"/>
              <w:bottom w:w="50" w:type="dxa"/>
              <w:left w:w="60" w:type="dxa"/>
              <w:right w:w="60" w:type="dxa"/>
            </w:tcMar>
          </w:tcPr>
          <w:p>
            <w:r>
              <w:rPr>
                <w:rFonts w:ascii="Calibri" w:hAnsi="Calibri"/>
                <w:color w:val="1E293B"/>
                <w:sz w:val="16"/>
              </w:rPr>
              <w:t>payment: unpaid</w:t>
              <w:br/>
              <w:t>total: Rp 0</w:t>
            </w:r>
          </w:p>
        </w:tc>
        <w:tc>
          <w:tcPr>
            <w:tcW w:type="dxa" w:w="1560"/>
            <w:shd w:fill="FFFFFF"/>
            <w:tcMar>
              <w:top w:w="50" w:type="dxa"/>
              <w:bottom w:w="50" w:type="dxa"/>
              <w:left w:w="60" w:type="dxa"/>
              <w:right w:w="60" w:type="dxa"/>
            </w:tcMar>
          </w:tcPr>
          <w:p>
            <w:r>
              <w:rPr>
                <w:rFonts w:ascii="Calibri" w:hAnsi="Calibri"/>
                <w:color w:val="1E293B"/>
                <w:sz w:val="16"/>
              </w:rPr>
              <w:t>payment: paid</w:t>
              <w:br/>
              <w:t>total: Rp 499.500</w:t>
            </w:r>
          </w:p>
        </w:tc>
        <w:tc>
          <w:tcPr>
            <w:tcW w:type="dxa" w:w="1560"/>
            <w:shd w:fill="FFFFFF"/>
            <w:tcMar>
              <w:top w:w="50" w:type="dxa"/>
              <w:bottom w:w="50" w:type="dxa"/>
              <w:left w:w="60" w:type="dxa"/>
              <w:right w:w="60" w:type="dxa"/>
            </w:tcMar>
          </w:tcPr>
          <w:p>
            <w:r>
              <w:rPr>
                <w:rFonts w:ascii="Calibri" w:hAnsi="Calibri"/>
                <w:color w:val="1E293B"/>
                <w:sz w:val="16"/>
              </w:rPr>
              <w:t>Payment Gateway / Odoo XML-RPC</w:t>
            </w:r>
          </w:p>
        </w:tc>
      </w:tr>
      <w:tr>
        <w:tc>
          <w:tcPr>
            <w:tcW w:type="dxa" w:w="1560"/>
            <w:shd w:fill="F8FAFC"/>
            <w:tcMar>
              <w:top w:w="50" w:type="dxa"/>
              <w:bottom w:w="50" w:type="dxa"/>
              <w:left w:w="60" w:type="dxa"/>
              <w:right w:w="60" w:type="dxa"/>
            </w:tcMar>
          </w:tcPr>
          <w:p>
            <w:r>
              <w:rPr>
                <w:rFonts w:ascii="Calibri" w:hAnsi="Calibri"/>
                <w:color w:val="1E293B"/>
                <w:sz w:val="16"/>
              </w:rPr>
              <w:t>9. Gate-Out</w:t>
            </w:r>
          </w:p>
        </w:tc>
        <w:tc>
          <w:tcPr>
            <w:tcW w:type="dxa" w:w="1560"/>
            <w:shd w:fill="F8FAFC"/>
            <w:tcMar>
              <w:top w:w="50" w:type="dxa"/>
              <w:bottom w:w="50" w:type="dxa"/>
              <w:left w:w="60" w:type="dxa"/>
              <w:right w:w="60" w:type="dxa"/>
            </w:tcMar>
          </w:tcPr>
          <w:p>
            <w:r>
              <w:rPr>
                <w:rFonts w:ascii="Calibri" w:hAnsi="Calibri"/>
                <w:color w:val="1E293B"/>
                <w:sz w:val="16"/>
              </w:rPr>
              <w:t>TMS</w:t>
            </w:r>
          </w:p>
        </w:tc>
        <w:tc>
          <w:tcPr>
            <w:tcW w:type="dxa" w:w="1560"/>
            <w:shd w:fill="F8FAFC"/>
            <w:tcMar>
              <w:top w:w="50" w:type="dxa"/>
              <w:bottom w:w="50" w:type="dxa"/>
              <w:left w:w="60" w:type="dxa"/>
              <w:right w:w="60" w:type="dxa"/>
            </w:tcMar>
          </w:tcPr>
          <w:p>
            <w:r>
              <w:rPr>
                <w:rFonts w:ascii="Calibri" w:hAnsi="Calibri"/>
                <w:color w:val="1E293B"/>
                <w:sz w:val="16"/>
              </w:rPr>
              <w:t>trucks</w:t>
              <w:br/>
              <w:t>yard_events</w:t>
            </w:r>
          </w:p>
        </w:tc>
        <w:tc>
          <w:tcPr>
            <w:tcW w:type="dxa" w:w="1560"/>
            <w:shd w:fill="F8FAFC"/>
            <w:tcMar>
              <w:top w:w="50" w:type="dxa"/>
              <w:bottom w:w="50" w:type="dxa"/>
              <w:left w:w="60" w:type="dxa"/>
              <w:right w:w="60" w:type="dxa"/>
            </w:tcMar>
          </w:tcPr>
          <w:p>
            <w:r>
              <w:rPr>
                <w:rFonts w:ascii="Calibri" w:hAnsi="Calibri"/>
                <w:color w:val="1E293B"/>
                <w:sz w:val="16"/>
              </w:rPr>
              <w:t>status: in_yard</w:t>
              <w:br/>
              <w:t>(Baru)</w:t>
            </w:r>
          </w:p>
        </w:tc>
        <w:tc>
          <w:tcPr>
            <w:tcW w:type="dxa" w:w="1560"/>
            <w:shd w:fill="F8FAFC"/>
            <w:tcMar>
              <w:top w:w="50" w:type="dxa"/>
              <w:bottom w:w="50" w:type="dxa"/>
              <w:left w:w="60" w:type="dxa"/>
              <w:right w:w="60" w:type="dxa"/>
            </w:tcMar>
          </w:tcPr>
          <w:p>
            <w:r>
              <w:rPr>
                <w:rFonts w:ascii="Calibri" w:hAnsi="Calibri"/>
                <w:color w:val="1E293B"/>
                <w:sz w:val="16"/>
              </w:rPr>
              <w:t>status: gate_out</w:t>
              <w:br/>
              <w:t>event: GATE_OUT</w:t>
            </w:r>
          </w:p>
        </w:tc>
        <w:tc>
          <w:tcPr>
            <w:tcW w:type="dxa" w:w="1560"/>
            <w:shd w:fill="F8FAFC"/>
            <w:tcMar>
              <w:top w:w="50" w:type="dxa"/>
              <w:bottom w:w="50" w:type="dxa"/>
              <w:left w:w="60" w:type="dxa"/>
              <w:right w:w="60" w:type="dxa"/>
            </w:tcMar>
          </w:tcPr>
          <w:p>
            <w:r>
              <w:rPr>
                <w:rFonts w:ascii="Calibri" w:hAnsi="Calibri"/>
                <w:color w:val="1E293B"/>
                <w:sz w:val="16"/>
              </w:rPr>
              <w:t>ANPR Gate-Out + Barcode e-Pass</w:t>
            </w:r>
          </w:p>
        </w:tc>
      </w:tr>
    </w:tbl>
    <w:p>
      <w:pPr>
        <w:spacing w:after="200"/>
      </w:pPr>
    </w:p>
    <w:p>
      <w:pPr>
        <w:keepNext/>
        <w:spacing w:before="360" w:after="120"/>
      </w:pPr>
      <w:r>
        <w:rPr>
          <w:rFonts w:ascii="Calibri" w:hAnsi="Calibri"/>
          <w:b/>
          <w:color w:val="004B87"/>
          <w:sz w:val="28"/>
        </w:rPr>
        <w:t>8. Bank Pertanyaan Kritis Dosen Penguji &amp; Jawaban Emas (Q&amp;A Defense)</w:t>
      </w:r>
    </w:p>
    <w:p>
      <w:pPr>
        <w:keepNext/>
        <w:spacing w:before="160" w:after="40"/>
      </w:pPr>
      <w:r>
        <w:rPr>
          <w:rFonts w:ascii="Calibri" w:hAnsi="Calibri"/>
          <w:b/>
          <w:color w:val="1E293B"/>
          <w:sz w:val="22"/>
        </w:rPr>
        <w:t>Q1: Mengapa sistem ini dirancang sebagai Dry Port Management System (DPMS) yang menggabungkan YMS, TMS, dan WMS, bukan hanya YMS biasa?</w:t>
      </w:r>
    </w:p>
    <w:tbl>
      <w:tblPr>
        <w:tblW w:type="auto" w:w="0"/>
        <w:jc w:val="center"/>
        <w:tblLook w:firstColumn="1" w:firstRow="1" w:lastColumn="0" w:lastRow="0" w:noHBand="0" w:noVBand="1" w:val="04A0"/>
      </w:tblPr>
      <w:tblGrid>
        <w:gridCol w:w="9360"/>
      </w:tblGrid>
      <w:tr>
        <w:tc>
          <w:tcPr>
            <w:tcW w:type="dxa" w:w="9360"/>
            <w:shd w:fill="FFF7ED"/>
            <w:tcMar>
              <w:top w:w="100" w:type="dxa"/>
              <w:bottom w:w="100" w:type="dxa"/>
              <w:left w:w="180" w:type="dxa"/>
              <w:right w:w="150" w:type="dxa"/>
            </w:tcMar>
            <w:tcBorders>
              <w:top w:val="none"/>
              <w:left w:val="single" w:sz="24" w:space="0" w:color="EA580C"/>
              <w:bottom w:val="none"/>
              <w:right w:val="none"/>
            </w:tcBorders>
          </w:tcPr>
          <w:p>
            <w:pPr>
              <w:spacing w:before="0" w:after="0" w:line="276" w:lineRule="auto"/>
            </w:pPr>
            <w:r>
              <w:rPr>
                <w:rFonts w:ascii="Calibri" w:hAnsi="Calibri"/>
                <w:b/>
                <w:color w:val="EA580C"/>
                <w:sz w:val="19"/>
              </w:rPr>
              <w:t>Jawaban Emas Q1:</w:t>
              <w:br/>
            </w:r>
            <w:r>
              <w:rPr>
                <w:rFonts w:ascii="Calibri" w:hAnsi="Calibri"/>
                <w:i/>
                <w:color w:val="1E293B"/>
                <w:sz w:val="19"/>
              </w:rPr>
              <w:t>"Dry port memiliki kompleksitas operasional yang jauh melampaui depo kontainer biasa. Terdapat tiga entitas operasional berbeda: 1. Yard (YMS) mengelola buffer penumpukan 35 Ha, crane RTG/Reach Stacker, dan colokan reefer. 2. Transport (TMS) mengelola dua kategori armada: truk eksternal gerbang tol dan Head Truck Langsir Internal (KTT-01/02) yang beroperasi khusus di dalam kawasan untuk memindahkan kargo dari rel KA ke gudang. 3. Warehouse (WMS) mengelola CFS untuk konsolidasi/dekonsolidasi kargo LCL. Jika berdiri terpisah, akan terjadi data silo dan kebocoran pendapatan."</w:t>
            </w:r>
          </w:p>
        </w:tc>
      </w:tr>
    </w:tbl>
    <w:p>
      <w:pPr>
        <w:spacing w:before="0" w:after="80"/>
      </w:pPr>
    </w:p>
    <w:p>
      <w:pPr>
        <w:keepNext/>
        <w:spacing w:before="160" w:after="40"/>
      </w:pPr>
      <w:r>
        <w:rPr>
          <w:rFonts w:ascii="Calibri" w:hAnsi="Calibri"/>
          <w:b/>
          <w:color w:val="1E293B"/>
          <w:sz w:val="22"/>
        </w:rPr>
        <w:t>Q2: Mengapa Head Truck Langsir Internal (Terminal Tractor) tetap dimasukkan ke dalam TMS padahal tidak pernah keluar gerbang tol?</w:t>
      </w:r>
    </w:p>
    <w:tbl>
      <w:tblPr>
        <w:tblW w:type="auto" w:w="0"/>
        <w:jc w:val="center"/>
        <w:tblLook w:firstColumn="1" w:firstRow="1" w:lastColumn="0" w:lastRow="0" w:noHBand="0" w:noVBand="1" w:val="04A0"/>
      </w:tblPr>
      <w:tblGrid>
        <w:gridCol w:w="9360"/>
      </w:tblGrid>
      <w:tr>
        <w:tc>
          <w:tcPr>
            <w:tcW w:type="dxa" w:w="9360"/>
            <w:shd w:fill="FFF7ED"/>
            <w:tcMar>
              <w:top w:w="100" w:type="dxa"/>
              <w:bottom w:w="100" w:type="dxa"/>
              <w:left w:w="180" w:type="dxa"/>
              <w:right w:w="150" w:type="dxa"/>
            </w:tcMar>
            <w:tcBorders>
              <w:top w:val="none"/>
              <w:left w:val="single" w:sz="24" w:space="0" w:color="EA580C"/>
              <w:bottom w:val="none"/>
              <w:right w:val="none"/>
            </w:tcBorders>
          </w:tcPr>
          <w:p>
            <w:pPr>
              <w:spacing w:before="0" w:after="0" w:line="276" w:lineRule="auto"/>
            </w:pPr>
            <w:r>
              <w:rPr>
                <w:rFonts w:ascii="Calibri" w:hAnsi="Calibri"/>
                <w:b/>
                <w:color w:val="EA580C"/>
                <w:sz w:val="19"/>
              </w:rPr>
              <w:t>Jawaban Emas Q2:</w:t>
              <w:br/>
            </w:r>
            <w:r>
              <w:rPr>
                <w:rFonts w:ascii="Calibri" w:hAnsi="Calibri"/>
                <w:i/>
                <w:color w:val="1E293B"/>
                <w:sz w:val="19"/>
              </w:rPr>
              <w:t>"Dalam teori manajemen transportasi pelabuhan, terminal tractor adalah moda Internal Horizontal Transport. Di lahan seluas 35 Ha, jarak tempuh dari Siding Rel KA ke CFS Gudang mencapai 800 meter. Tanpa TMS khusus langsir internal, terminal controller tidak dapat memantau utilisasi unit traktor, siklus langsir (turnaround time per cycle), konsumsi BBM, maupun antrian trailer di rampa docking. TMS internal memastikan target siklus langsir tercapai di bawah 10 menit."</w:t>
            </w:r>
          </w:p>
        </w:tc>
      </w:tr>
    </w:tbl>
    <w:p>
      <w:pPr>
        <w:spacing w:before="0" w:after="80"/>
      </w:pPr>
    </w:p>
    <w:p>
      <w:pPr>
        <w:keepNext/>
        <w:spacing w:before="160" w:after="40"/>
      </w:pPr>
      <w:r>
        <w:rPr>
          <w:rFonts w:ascii="Calibri" w:hAnsi="Calibri"/>
          <w:b/>
          <w:color w:val="1E293B"/>
          <w:sz w:val="22"/>
        </w:rPr>
        <w:t>Q3: Dari mana data pertama kali tercipta jika terminal baru mulai beroperasi?</w:t>
      </w:r>
    </w:p>
    <w:tbl>
      <w:tblPr>
        <w:tblW w:type="auto" w:w="0"/>
        <w:jc w:val="center"/>
        <w:tblLook w:firstColumn="1" w:firstRow="1" w:lastColumn="0" w:lastRow="0" w:noHBand="0" w:noVBand="1" w:val="04A0"/>
      </w:tblPr>
      <w:tblGrid>
        <w:gridCol w:w="9360"/>
      </w:tblGrid>
      <w:tr>
        <w:tc>
          <w:tcPr>
            <w:tcW w:type="dxa" w:w="9360"/>
            <w:shd w:fill="FFF7ED"/>
            <w:tcMar>
              <w:top w:w="100" w:type="dxa"/>
              <w:bottom w:w="100" w:type="dxa"/>
              <w:left w:w="180" w:type="dxa"/>
              <w:right w:w="150" w:type="dxa"/>
            </w:tcMar>
            <w:tcBorders>
              <w:top w:val="none"/>
              <w:left w:val="single" w:sz="24" w:space="0" w:color="EA580C"/>
              <w:bottom w:val="none"/>
              <w:right w:val="none"/>
            </w:tcBorders>
          </w:tcPr>
          <w:p>
            <w:pPr>
              <w:spacing w:before="0" w:after="0" w:line="276" w:lineRule="auto"/>
            </w:pPr>
            <w:r>
              <w:rPr>
                <w:rFonts w:ascii="Calibri" w:hAnsi="Calibri"/>
                <w:b/>
                <w:color w:val="EA580C"/>
                <w:sz w:val="19"/>
              </w:rPr>
              <w:t>Jawaban Emas Q3:</w:t>
              <w:br/>
            </w:r>
            <w:r>
              <w:rPr>
                <w:rFonts w:ascii="Calibri" w:hAnsi="Calibri"/>
                <w:i/>
                <w:color w:val="1E293B"/>
                <w:sz w:val="19"/>
              </w:rPr>
              <w:t>"Data awal tercipta dari dua lapis: Pertama, lapisan administratif berupa Master Manifes / Delivery Order dari pelayaran sebelum armada bergerak. Kedua, lapisan operasional fisik tercipta di Gerbang Masuk saat ban truk menyentuh Loop Detector. Sensor tersebut memicu kamera ANPR membaca plat nomor, portal OCR membaca nomor kontainer ISO 6346, dan jembatan timbang merekam bobot VGM secara otomatis ke tabel trucks dan containers."</w:t>
            </w:r>
          </w:p>
        </w:tc>
      </w:tr>
    </w:tbl>
    <w:p>
      <w:pPr>
        <w:spacing w:before="0" w:after="80"/>
      </w:pPr>
    </w:p>
    <w:p>
      <w:pPr>
        <w:keepNext/>
        <w:spacing w:before="160" w:after="40"/>
      </w:pPr>
      <w:r>
        <w:rPr>
          <w:rFonts w:ascii="Calibri" w:hAnsi="Calibri"/>
          <w:b/>
          <w:color w:val="1E293B"/>
          <w:sz w:val="22"/>
        </w:rPr>
        <w:t>Q4: Mengapa jembatan timbang di gate harus langsung menerbitkan sertifikasi SOLAS VGM?</w:t>
      </w:r>
    </w:p>
    <w:tbl>
      <w:tblPr>
        <w:tblW w:type="auto" w:w="0"/>
        <w:jc w:val="center"/>
        <w:tblLook w:firstColumn="1" w:firstRow="1" w:lastColumn="0" w:lastRow="0" w:noHBand="0" w:noVBand="1" w:val="04A0"/>
      </w:tblPr>
      <w:tblGrid>
        <w:gridCol w:w="9360"/>
      </w:tblGrid>
      <w:tr>
        <w:tc>
          <w:tcPr>
            <w:tcW w:type="dxa" w:w="9360"/>
            <w:shd w:fill="FFF7ED"/>
            <w:tcMar>
              <w:top w:w="100" w:type="dxa"/>
              <w:bottom w:w="100" w:type="dxa"/>
              <w:left w:w="180" w:type="dxa"/>
              <w:right w:w="150" w:type="dxa"/>
            </w:tcMar>
            <w:tcBorders>
              <w:top w:val="none"/>
              <w:left w:val="single" w:sz="24" w:space="0" w:color="EA580C"/>
              <w:bottom w:val="none"/>
              <w:right w:val="none"/>
            </w:tcBorders>
          </w:tcPr>
          <w:p>
            <w:pPr>
              <w:spacing w:before="0" w:after="0" w:line="276" w:lineRule="auto"/>
            </w:pPr>
            <w:r>
              <w:rPr>
                <w:rFonts w:ascii="Calibri" w:hAnsi="Calibri"/>
                <w:b/>
                <w:color w:val="EA580C"/>
                <w:sz w:val="19"/>
              </w:rPr>
              <w:t>Jawaban Emas Q4:</w:t>
              <w:br/>
            </w:r>
            <w:r>
              <w:rPr>
                <w:rFonts w:ascii="Calibri" w:hAnsi="Calibri"/>
                <w:i/>
                <w:color w:val="1E293B"/>
                <w:sz w:val="19"/>
              </w:rPr>
              <w:t>"Berdasarkan amandemen Konvensi Internasional SOLAS Chapter VI Regulation 2 oleh IMO, setiap peti kemas ekspor wajib memiliki Verified Gross Mass (VGM) yang tersertifikasi resmi sebelum dinaikkan ke kapal laut. Dengan menimbang bobot kotor di gerbang CIDP menggunakan jembatan timbang terkalibrasi 80 Ton Metode 1, CIDP memberikan nilai tambah kepada eksportir sehingga kontainer tidak perlu ditimbang ulang di pelabuhan Tanjung Priok, mempercepat proses loading."</w:t>
            </w:r>
          </w:p>
        </w:tc>
      </w:tr>
    </w:tbl>
    <w:p>
      <w:pPr>
        <w:spacing w:before="0" w:after="80"/>
      </w:pPr>
    </w:p>
    <w:p>
      <w:pPr>
        <w:keepNext/>
        <w:spacing w:before="160" w:after="40"/>
      </w:pPr>
      <w:r>
        <w:rPr>
          <w:rFonts w:ascii="Calibri" w:hAnsi="Calibri"/>
          <w:b/>
          <w:color w:val="1E293B"/>
          <w:sz w:val="22"/>
        </w:rPr>
        <w:t>Q5: Apa perbedaan paling mendasar antara Dry Port CIDP dengan Depo Kontainer biasa?</w:t>
      </w:r>
    </w:p>
    <w:tbl>
      <w:tblPr>
        <w:tblW w:type="auto" w:w="0"/>
        <w:jc w:val="center"/>
        <w:tblLook w:firstColumn="1" w:firstRow="1" w:lastColumn="0" w:lastRow="0" w:noHBand="0" w:noVBand="1" w:val="04A0"/>
      </w:tblPr>
      <w:tblGrid>
        <w:gridCol w:w="9360"/>
      </w:tblGrid>
      <w:tr>
        <w:tc>
          <w:tcPr>
            <w:tcW w:type="dxa" w:w="9360"/>
            <w:shd w:fill="FFF7ED"/>
            <w:tcMar>
              <w:top w:w="100" w:type="dxa"/>
              <w:bottom w:w="100" w:type="dxa"/>
              <w:left w:w="180" w:type="dxa"/>
              <w:right w:w="150" w:type="dxa"/>
            </w:tcMar>
            <w:tcBorders>
              <w:top w:val="none"/>
              <w:left w:val="single" w:sz="24" w:space="0" w:color="EA580C"/>
              <w:bottom w:val="none"/>
              <w:right w:val="none"/>
            </w:tcBorders>
          </w:tcPr>
          <w:p>
            <w:pPr>
              <w:spacing w:before="0" w:after="0" w:line="276" w:lineRule="auto"/>
            </w:pPr>
            <w:r>
              <w:rPr>
                <w:rFonts w:ascii="Calibri" w:hAnsi="Calibri"/>
                <w:b/>
                <w:color w:val="EA580C"/>
                <w:sz w:val="19"/>
              </w:rPr>
              <w:t>Jawaban Emas Q5:</w:t>
              <w:br/>
            </w:r>
            <w:r>
              <w:rPr>
                <w:rFonts w:ascii="Calibri" w:hAnsi="Calibri"/>
                <w:i/>
                <w:color w:val="1E293B"/>
                <w:sz w:val="19"/>
              </w:rPr>
              <w:t>"Terdapat 3 perbedaan fundamental: 1. Konektivitas Multimoda Berjadwal: CIDP memiliki jalur rel ganda langsung ke dermaga laut Tanjung Priok dengan jadwal KA reguler 6 trip per hari. 2. Otoritas Kepabeanan Penuh (Port of Origin/Destination): CIDP memiliki kode pelabuhan internasional sendiri dan hanggar Bea Cukai CEISA 4.0 terpadu. 3. Otomasi Terintegrasi: Menggunakan sistem DPMS berbasis 26 perangkat keras IoT AIDC yang terhubung langsung ke billing ERP Odoo."</w:t>
            </w:r>
          </w:p>
        </w:tc>
      </w:tr>
    </w:tbl>
    <w:p>
      <w:pPr>
        <w:spacing w:before="0" w:after="80"/>
      </w:pPr>
    </w:p>
    <w:p>
      <w:pPr>
        <w:keepNext/>
        <w:spacing w:before="160" w:after="40"/>
      </w:pPr>
      <w:r>
        <w:rPr>
          <w:rFonts w:ascii="Calibri" w:hAnsi="Calibri"/>
          <w:b/>
          <w:color w:val="1E293B"/>
          <w:sz w:val="22"/>
        </w:rPr>
        <w:t>Q6: Bagaimana sistem memastikan nomor kontainer yang dibaca kamera OCR itu valid dan bukan nomor palsu?</w:t>
      </w:r>
    </w:p>
    <w:tbl>
      <w:tblPr>
        <w:tblW w:type="auto" w:w="0"/>
        <w:jc w:val="center"/>
        <w:tblLook w:firstColumn="1" w:firstRow="1" w:lastColumn="0" w:lastRow="0" w:noHBand="0" w:noVBand="1" w:val="04A0"/>
      </w:tblPr>
      <w:tblGrid>
        <w:gridCol w:w="9360"/>
      </w:tblGrid>
      <w:tr>
        <w:tc>
          <w:tcPr>
            <w:tcW w:type="dxa" w:w="9360"/>
            <w:shd w:fill="FFF7ED"/>
            <w:tcMar>
              <w:top w:w="100" w:type="dxa"/>
              <w:bottom w:w="100" w:type="dxa"/>
              <w:left w:w="180" w:type="dxa"/>
              <w:right w:w="150" w:type="dxa"/>
            </w:tcMar>
            <w:tcBorders>
              <w:top w:val="none"/>
              <w:left w:val="single" w:sz="24" w:space="0" w:color="EA580C"/>
              <w:bottom w:val="none"/>
              <w:right w:val="none"/>
            </w:tcBorders>
          </w:tcPr>
          <w:p>
            <w:pPr>
              <w:spacing w:before="0" w:after="0" w:line="276" w:lineRule="auto"/>
            </w:pPr>
            <w:r>
              <w:rPr>
                <w:rFonts w:ascii="Calibri" w:hAnsi="Calibri"/>
                <w:b/>
                <w:color w:val="EA580C"/>
                <w:sz w:val="19"/>
              </w:rPr>
              <w:t>Jawaban Emas Q6:</w:t>
              <w:br/>
            </w:r>
            <w:r>
              <w:rPr>
                <w:rFonts w:ascii="Calibri" w:hAnsi="Calibri"/>
                <w:i/>
                <w:color w:val="1E293B"/>
                <w:sz w:val="19"/>
              </w:rPr>
              <w:t>"Sistem menerapkan algoritma validasi Check Digit standar ISO 6346 secara matematis. Setiap 4 huruf kode pemilik dan 6 angka nomor seri dikonversi ke bobot perpangkatan 2^0 hingga 2^9, lalu dibagi modulus 11. Angka sisa pembagian harus sama persis dengan angka ke-11 pada fisik kontainer. Jika salah atau nomor palsu, sistem langsung membunyikan alert dan menahan palang gerbang untuk verifikasi petugas."</w:t>
            </w:r>
          </w:p>
        </w:tc>
      </w:tr>
    </w:tbl>
    <w:p>
      <w:pPr>
        <w:spacing w:before="0" w:after="80"/>
      </w:pPr>
    </w:p>
    <w:p>
      <w:pPr>
        <w:keepNext/>
        <w:spacing w:before="160" w:after="40"/>
      </w:pPr>
      <w:r>
        <w:rPr>
          <w:rFonts w:ascii="Calibri" w:hAnsi="Calibri"/>
          <w:b/>
          <w:color w:val="1E293B"/>
          <w:sz w:val="22"/>
        </w:rPr>
        <w:t>Q7: Bagaimana sistem Billing menghitung biaya jika kontainer menginap melebihi batas waktu?</w:t>
      </w:r>
    </w:p>
    <w:tbl>
      <w:tblPr>
        <w:tblW w:type="auto" w:w="0"/>
        <w:jc w:val="center"/>
        <w:tblLook w:firstColumn="1" w:firstRow="1" w:lastColumn="0" w:lastRow="0" w:noHBand="0" w:noVBand="1" w:val="04A0"/>
      </w:tblPr>
      <w:tblGrid>
        <w:gridCol w:w="9360"/>
      </w:tblGrid>
      <w:tr>
        <w:tc>
          <w:tcPr>
            <w:tcW w:type="dxa" w:w="9360"/>
            <w:shd w:fill="FFF7ED"/>
            <w:tcMar>
              <w:top w:w="100" w:type="dxa"/>
              <w:bottom w:w="100" w:type="dxa"/>
              <w:left w:w="180" w:type="dxa"/>
              <w:right w:w="150" w:type="dxa"/>
            </w:tcMar>
            <w:tcBorders>
              <w:top w:val="none"/>
              <w:left w:val="single" w:sz="24" w:space="0" w:color="EA580C"/>
              <w:bottom w:val="none"/>
              <w:right w:val="none"/>
            </w:tcBorders>
          </w:tcPr>
          <w:p>
            <w:pPr>
              <w:spacing w:before="0" w:after="0" w:line="276" w:lineRule="auto"/>
            </w:pPr>
            <w:r>
              <w:rPr>
                <w:rFonts w:ascii="Calibri" w:hAnsi="Calibri"/>
                <w:b/>
                <w:color w:val="EA580C"/>
                <w:sz w:val="19"/>
              </w:rPr>
              <w:t>Jawaban Emas Q7:</w:t>
              <w:br/>
            </w:r>
            <w:r>
              <w:rPr>
                <w:rFonts w:ascii="Calibri" w:hAnsi="Calibri"/>
                <w:i/>
                <w:color w:val="1E293B"/>
                <w:sz w:val="19"/>
              </w:rPr>
              <w:t>"Sistem menerapkan formula kalkulasi Dwell Time bertingkat: Masa 1 (Hari 1 hingga Hari 3) adalah Masa Bebas Penumpukan (Free Time) dengan tarif Rp 0. Jika kontainer menginap melewati hari ke-3, fungsi cron job dan timestamp gate_in_time otomatis mengaktifkan tarif Masa 2 (Dwell Surcharge) sebesar Rp 180.000 per hari untuk ukuran 40 kaki, yang diakumulasikan otomatis pada invoice saat SP2B diajukan."</w:t>
            </w:r>
          </w:p>
        </w:tc>
      </w:tr>
    </w:tbl>
    <w:p>
      <w:pPr>
        <w:spacing w:before="0" w:after="80"/>
      </w:pPr>
    </w:p>
    <w:p>
      <w:pPr>
        <w:keepNext/>
        <w:spacing w:before="240" w:after="80"/>
      </w:pPr>
      <w:r>
        <w:rPr>
          <w:rFonts w:ascii="Calibri" w:hAnsi="Calibri"/>
          <w:b/>
          <w:color w:val="EA580C"/>
          <w:sz w:val="24"/>
        </w:rPr>
        <w:t>9. Ringkasan Eksekutif untuk Penutup Demo</w:t>
      </w:r>
    </w:p>
    <w:tbl>
      <w:tblPr>
        <w:tblW w:type="auto" w:w="0"/>
        <w:jc w:val="center"/>
        <w:tblLook w:firstColumn="1" w:firstRow="1" w:lastColumn="0" w:lastRow="0" w:noHBand="0" w:noVBand="1" w:val="04A0"/>
      </w:tblPr>
      <w:tblGrid>
        <w:gridCol w:w="9360"/>
      </w:tblGrid>
      <w:tr>
        <w:tc>
          <w:tcPr>
            <w:tcW w:type="dxa" w:w="9360"/>
            <w:shd w:fill="FFF7ED"/>
            <w:tcMar>
              <w:top w:w="100" w:type="dxa"/>
              <w:bottom w:w="100" w:type="dxa"/>
              <w:left w:w="180" w:type="dxa"/>
              <w:right w:w="150" w:type="dxa"/>
            </w:tcMar>
            <w:tcBorders>
              <w:top w:val="none"/>
              <w:left w:val="single" w:sz="24" w:space="0" w:color="EA580C"/>
              <w:bottom w:val="none"/>
              <w:right w:val="none"/>
            </w:tcBorders>
          </w:tcPr>
          <w:p>
            <w:pPr>
              <w:spacing w:before="0" w:after="0" w:line="276" w:lineRule="auto"/>
            </w:pPr>
            <w:r>
              <w:rPr>
                <w:rFonts w:ascii="Calibri" w:hAnsi="Calibri"/>
                <w:b/>
                <w:color w:val="EA580C"/>
                <w:sz w:val="19"/>
              </w:rPr>
              <w:t>Pernyataan Penutup Demo:</w:t>
              <w:br/>
            </w:r>
            <w:r>
              <w:rPr>
                <w:rFonts w:ascii="Calibri" w:hAnsi="Calibri"/>
                <w:i/>
                <w:color w:val="1E293B"/>
                <w:sz w:val="19"/>
              </w:rPr>
              <w:t>"Melalui integrasi fisik, informasi, dan finansial pada platform Conclusion Intermodal Dry Port Management System (CIDP DPMS) ini, kami membuktikan bahwa konvergensi tiga pilar logistik—YMS di lapangan 35 Ha, TMS pada sirkulasi jalan raya dan langsir internal, serta WMS di rampa konsolidasi CFS—mampu memangkas waktu inap (Dwell Time) dari rata-rata nasional 3.8 hari menjadi 1.8 hari, mengeliminasi kemacetan jalan tol, dan mewujudkan ekosistem logistik intermodal hijau berstandar internasional bagi industri manufaktur Indonesia. Terima kasih."</w:t>
            </w:r>
          </w:p>
        </w:tc>
      </w:tr>
    </w:tbl>
    <w:p>
      <w:pPr>
        <w:spacing w:before="0"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