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ruktur-organisasi-sesuai-kebutuhan"/>
    <w:p>
      <w:pPr>
        <w:pStyle w:val="Heading1"/>
      </w:pPr>
      <w:r>
        <w:t xml:space="preserve">1.1.1 Struktur organisasi sesuai kebutuhan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Bagan/struktur organisasi</w:t>
      </w:r>
    </w:p>
    <w:p>
      <w:pPr>
        <w:pStyle w:val="Compact"/>
        <w:numPr>
          <w:ilvl w:val="0"/>
          <w:numId w:val="1001"/>
        </w:numPr>
      </w:pPr>
      <w:r>
        <w:t xml:space="preserve">☐ Notulen rapat keputusan penyusunan struktur organisasi</w:t>
      </w:r>
    </w:p>
    <w:p>
      <w:pPr>
        <w:pStyle w:val="Compact"/>
        <w:numPr>
          <w:ilvl w:val="0"/>
          <w:numId w:val="1001"/>
        </w:numPr>
      </w:pPr>
      <w:r>
        <w:t xml:space="preserve">☐ Dokumen sosialisasi</w:t>
      </w:r>
    </w:p>
    <w:p>
      <w:pPr>
        <w:pStyle w:val="Compact"/>
        <w:numPr>
          <w:ilvl w:val="0"/>
          <w:numId w:val="1001"/>
        </w:numPr>
      </w:pPr>
      <w:r>
        <w:t xml:space="preserve">☐ Daftar hadir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