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nempatan-personalia"/>
    <w:p>
      <w:pPr>
        <w:pStyle w:val="Heading1"/>
      </w:pPr>
      <w:r>
        <w:t xml:space="preserve">1.1.2 Penempatan personalia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penetapan/pengesahan susunan organisasi madrasah</w:t>
      </w:r>
    </w:p>
    <w:p>
      <w:pPr>
        <w:pStyle w:val="Compact"/>
        <w:numPr>
          <w:ilvl w:val="0"/>
          <w:numId w:val="1001"/>
        </w:numPr>
      </w:pPr>
      <w:r>
        <w:t xml:space="preserve">☐ Rincian tugas setiap personil pada struktur organisasi</w:t>
      </w:r>
    </w:p>
    <w:p>
      <w:pPr>
        <w:pStyle w:val="Compact"/>
        <w:numPr>
          <w:ilvl w:val="0"/>
          <w:numId w:val="1001"/>
        </w:numPr>
      </w:pPr>
      <w:r>
        <w:t xml:space="preserve">☐ Sertifikat</w:t>
      </w:r>
    </w:p>
    <w:p>
      <w:pPr>
        <w:pStyle w:val="Compact"/>
        <w:numPr>
          <w:ilvl w:val="0"/>
          <w:numId w:val="1001"/>
        </w:numPr>
      </w:pPr>
      <w:r>
        <w:t xml:space="preserve">☐ SOP Personalia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