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mbangan-potensi-dan-prestasi"/>
    <w:p>
      <w:pPr>
        <w:pStyle w:val="Heading1"/>
      </w:pPr>
      <w:r>
        <w:t xml:space="preserve">1.2.4 Pengembangan potensi dan prestasi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Data prestasi madrasah 1 tahun terakhir</w:t>
      </w:r>
    </w:p>
    <w:p>
      <w:pPr>
        <w:pStyle w:val="Compact"/>
        <w:numPr>
          <w:ilvl w:val="0"/>
          <w:numId w:val="1001"/>
        </w:numPr>
      </w:pPr>
      <w:r>
        <w:t xml:space="preserve">☐ Data hasil UN 1 tahun terakhir</w:t>
      </w:r>
    </w:p>
    <w:p>
      <w:pPr>
        <w:pStyle w:val="Compact"/>
        <w:numPr>
          <w:ilvl w:val="0"/>
          <w:numId w:val="1001"/>
        </w:numPr>
      </w:pPr>
      <w:r>
        <w:t xml:space="preserve">☐ Dokumen akreditasi</w:t>
      </w:r>
    </w:p>
    <w:p>
      <w:pPr>
        <w:pStyle w:val="Compact"/>
        <w:numPr>
          <w:ilvl w:val="0"/>
          <w:numId w:val="1001"/>
        </w:numPr>
      </w:pPr>
      <w:r>
        <w:t xml:space="preserve">☐ Program ekstrakurikuler</w:t>
      </w:r>
    </w:p>
    <w:p>
      <w:pPr>
        <w:pStyle w:val="Compact"/>
        <w:numPr>
          <w:ilvl w:val="0"/>
          <w:numId w:val="1001"/>
        </w:numPr>
      </w:pPr>
      <w:r>
        <w:t xml:space="preserve">☐ Program unggulan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