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dekatan-mendapat-dukungan"/>
    <w:p>
      <w:pPr>
        <w:pStyle w:val="Heading1"/>
      </w:pPr>
      <w:r>
        <w:t xml:space="preserve">1.3.2 Pendekatan mendapat dukungan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kegiatan kerjasama</w:t>
      </w:r>
    </w:p>
    <w:p>
      <w:pPr>
        <w:pStyle w:val="Compact"/>
        <w:numPr>
          <w:ilvl w:val="0"/>
          <w:numId w:val="1001"/>
        </w:numPr>
      </w:pPr>
      <w:r>
        <w:t xml:space="preserve">☐ Foto kegiatan</w:t>
      </w:r>
    </w:p>
    <w:p>
      <w:pPr>
        <w:pStyle w:val="Compact"/>
        <w:numPr>
          <w:ilvl w:val="0"/>
          <w:numId w:val="1001"/>
        </w:numPr>
      </w:pPr>
      <w:r>
        <w:t xml:space="preserve">☐ Jadwal kegiatan</w:t>
      </w:r>
    </w:p>
    <w:p>
      <w:pPr>
        <w:pStyle w:val="Compact"/>
        <w:numPr>
          <w:ilvl w:val="0"/>
          <w:numId w:val="1001"/>
        </w:numPr>
      </w:pPr>
      <w:r>
        <w:t xml:space="preserve">☐ Laporan kegiatan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