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anfaatan-dan-pemeliharaan-kerjasama"/>
    <w:p>
      <w:pPr>
        <w:pStyle w:val="Heading1"/>
      </w:pPr>
      <w:r>
        <w:t xml:space="preserve">1.3.3 Pemanfaatan dan pemeliharaan kerjasama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Laporan kegiatan kerja</w:t>
      </w:r>
    </w:p>
    <w:p>
      <w:pPr>
        <w:pStyle w:val="Compact"/>
        <w:numPr>
          <w:ilvl w:val="0"/>
          <w:numId w:val="1001"/>
        </w:numPr>
      </w:pPr>
      <w:r>
        <w:t xml:space="preserve">☐ Laporan monitoring/evaluasi kegiatan</w:t>
      </w:r>
    </w:p>
    <w:p>
      <w:pPr>
        <w:pStyle w:val="Compact"/>
        <w:numPr>
          <w:ilvl w:val="0"/>
          <w:numId w:val="1001"/>
        </w:numPr>
      </w:pPr>
      <w:r>
        <w:t xml:space="preserve">☐ Dokumentasi foto/video pelaksanaan kerjasama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