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boratorium"/>
    <w:p>
      <w:pPr>
        <w:pStyle w:val="Heading1"/>
      </w:pPr>
      <w:r>
        <w:t xml:space="preserve">1.5.1 Laboratorium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luas sesuai standar</w:t>
      </w:r>
    </w:p>
    <w:p>
      <w:pPr>
        <w:pStyle w:val="Compact"/>
        <w:numPr>
          <w:ilvl w:val="0"/>
          <w:numId w:val="1001"/>
        </w:numPr>
      </w:pPr>
      <w:r>
        <w:t xml:space="preserve">☐ Sarana pendukung laboratorium</w:t>
      </w:r>
    </w:p>
    <w:p>
      <w:pPr>
        <w:pStyle w:val="Compact"/>
        <w:numPr>
          <w:ilvl w:val="0"/>
          <w:numId w:val="1001"/>
        </w:numPr>
      </w:pPr>
      <w:r>
        <w:t xml:space="preserve">☐ Program kerja laboratorium</w:t>
      </w:r>
    </w:p>
    <w:p>
      <w:pPr>
        <w:pStyle w:val="Compact"/>
        <w:numPr>
          <w:ilvl w:val="0"/>
          <w:numId w:val="1001"/>
        </w:numPr>
      </w:pPr>
      <w:r>
        <w:t xml:space="preserve">☐ Jurnal dan laporan pengelolaan laboratorium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