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website-madrasah-sebagai-sumber-belajar"/>
    <w:p>
      <w:pPr>
        <w:pStyle w:val="Heading1"/>
      </w:pPr>
      <w:r>
        <w:t xml:space="preserve">1.6.2.3 Website Madrasah (sebagai sumber belajar)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Selain berfungsi sebagai media informasi dan promosi, website madrasah</w:t>
      </w:r>
      <w:r>
        <w:t xml:space="preserve"> </w:t>
      </w:r>
      <w:r>
        <w:t xml:space="preserve">juga dapat dimanfaatkan sebagai sumber belajar tambahan bagi peserta</w:t>
      </w:r>
      <w:r>
        <w:t xml:space="preserve"> </w:t>
      </w:r>
      <w:r>
        <w:t xml:space="preserve">didik, misalnya melalui publikasi materi pembelajaran, pengumuman</w:t>
      </w:r>
      <w:r>
        <w:t xml:space="preserve"> </w:t>
      </w:r>
      <w:r>
        <w:t xml:space="preserve">akademik, dan informasi pendukung kegiatan belajar mengajar.</w:t>
      </w:r>
    </w:p>
    <w:p>
      <w:pPr>
        <w:pStyle w:val="BodyText"/>
      </w:pPr>
      <w:r>
        <w:t xml:space="preserve">Dokumen ini menguraikan pemanfaatan website MTsN 1 Pandeglang sebagai</w:t>
      </w:r>
      <w:r>
        <w:t xml:space="preserve"> </w:t>
      </w:r>
      <w:r>
        <w:t xml:space="preserve">salah satu sumber belajar berbasis TIK bagi peserta didik.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Alamat: https://mtsn1pandeglang.sch.id</w:t>
      </w:r>
    </w:p>
    <w:p>
      <w:pPr>
        <w:pStyle w:val="Compact"/>
        <w:numPr>
          <w:ilvl w:val="0"/>
          <w:numId w:val="1001"/>
        </w:numPr>
      </w:pPr>
      <w:r>
        <w:t xml:space="preserve">Konten pembelajaran/informasi akademik dipublikasikan berkala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2"/>
        </w:numPr>
      </w:pPr>
      <w:r>
        <w:t xml:space="preserve">☐ Screenshot konten pembelajaran/akademik di website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