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ministrasi-berbasis-tik"/>
    <w:p>
      <w:pPr>
        <w:pStyle w:val="Heading1"/>
      </w:pPr>
      <w:r>
        <w:t xml:space="preserve">1.7.1 Administrasi berbasis TIK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Bukti penerapan TIK administrasi persuratan</w:t>
      </w:r>
    </w:p>
    <w:p>
      <w:pPr>
        <w:pStyle w:val="Compact"/>
        <w:numPr>
          <w:ilvl w:val="0"/>
          <w:numId w:val="1001"/>
        </w:numPr>
      </w:pPr>
      <w:r>
        <w:t xml:space="preserve">☐ Bukti penerapan TIK administrasi sarana prasarana</w:t>
      </w:r>
    </w:p>
    <w:p>
      <w:pPr>
        <w:pStyle w:val="Compact"/>
        <w:numPr>
          <w:ilvl w:val="0"/>
          <w:numId w:val="1001"/>
        </w:numPr>
      </w:pPr>
      <w:r>
        <w:t xml:space="preserve">☐ Bukti penerapan TIK administrasi kepegawaian</w:t>
      </w:r>
    </w:p>
    <w:p>
      <w:pPr>
        <w:pStyle w:val="Compact"/>
        <w:numPr>
          <w:ilvl w:val="0"/>
          <w:numId w:val="1001"/>
        </w:numPr>
      </w:pPr>
      <w:r>
        <w:t xml:space="preserve">☐ Bukti penerapan TIK administrasi kepesertadidikan</w:t>
      </w:r>
    </w:p>
    <w:p>
      <w:pPr>
        <w:pStyle w:val="Compact"/>
        <w:numPr>
          <w:ilvl w:val="0"/>
          <w:numId w:val="1001"/>
        </w:numPr>
      </w:pPr>
      <w:r>
        <w:t xml:space="preserve">☐ Bukti penerapan TIK administrasi keuangan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