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si-pembelajaran-berbasis-tik"/>
    <w:p>
      <w:pPr>
        <w:pStyle w:val="Heading1"/>
      </w:pPr>
      <w:r>
        <w:t xml:space="preserve">1.7.2 Administrasi pembelajaran berbasis TIK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Jumlah komputer dan LCD yang cukup (data inventaris)</w:t>
      </w:r>
    </w:p>
    <w:p>
      <w:pPr>
        <w:pStyle w:val="Compact"/>
        <w:numPr>
          <w:ilvl w:val="0"/>
          <w:numId w:val="1001"/>
        </w:numPr>
      </w:pPr>
      <w:r>
        <w:t xml:space="preserve">☐ Bukti jaringan internet</w:t>
      </w:r>
    </w:p>
    <w:p>
      <w:pPr>
        <w:pStyle w:val="Compact"/>
        <w:numPr>
          <w:ilvl w:val="0"/>
          <w:numId w:val="1001"/>
        </w:numPr>
      </w:pPr>
      <w:r>
        <w:t xml:space="preserve">☐ Pemanfaatan TIK untuk pembelajaran (Edmodo, Google Classroom, dll)</w:t>
      </w:r>
    </w:p>
    <w:p>
      <w:pPr>
        <w:pStyle w:val="Compact"/>
        <w:numPr>
          <w:ilvl w:val="0"/>
          <w:numId w:val="1001"/>
        </w:numPr>
      </w:pPr>
      <w:r>
        <w:t xml:space="preserve">☐ Pengelolaan penilaian secara online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