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si-misi"/>
    <w:p>
      <w:pPr>
        <w:pStyle w:val="Heading1"/>
      </w:pPr>
      <w:r>
        <w:t xml:space="preserve">2.1.2 Visi Misi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Visi misi yang telah ditetapkan oleh Kamad</w:t>
      </w:r>
    </w:p>
    <w:p>
      <w:pPr>
        <w:pStyle w:val="Compact"/>
        <w:numPr>
          <w:ilvl w:val="0"/>
          <w:numId w:val="1001"/>
        </w:numPr>
      </w:pPr>
      <w:r>
        <w:t xml:space="preserve">☐ Berita acara dan daftar hadir perumusan/peninjauan dan penetapan visi misi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