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trategi-pencapaian-tujuan"/>
    <w:p>
      <w:pPr>
        <w:pStyle w:val="Heading1"/>
      </w:pPr>
      <w:r>
        <w:t xml:space="preserve">2.1.3 Strategi pencapaian tujuan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Program kerja</w:t>
      </w:r>
    </w:p>
    <w:p>
      <w:pPr>
        <w:pStyle w:val="Compact"/>
        <w:numPr>
          <w:ilvl w:val="0"/>
          <w:numId w:val="1001"/>
        </w:numPr>
      </w:pPr>
      <w:r>
        <w:t xml:space="preserve">☐ RKJM dan RKTM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2026-09-14T19:31:51Z</dcterms:created>
  <dcterms:modified xsi:type="dcterms:W3CDTF">2026-09-14T19:31:51Z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