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kedisiplinan-kehadiran"/>
    <w:p>
      <w:pPr>
        <w:pStyle w:val="Heading1"/>
      </w:pPr>
      <w:r>
        <w:t xml:space="preserve">2.2.1 Kedisiplinan kehadiran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Daftar hadir elektronik kamad</w:t>
      </w:r>
    </w:p>
    <w:p>
      <w:pPr>
        <w:pStyle w:val="Compact"/>
        <w:numPr>
          <w:ilvl w:val="0"/>
          <w:numId w:val="1001"/>
        </w:numPr>
      </w:pPr>
      <w:r>
        <w:t xml:space="preserve">☐ Daftar hadir pada kegiatan di madrasah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2026-09-14T19:31:52Z</dcterms:created>
  <dcterms:modified xsi:type="dcterms:W3CDTF">2026-09-14T19:31:52Z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