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laksanaan-peraturan"/>
    <w:p>
      <w:pPr>
        <w:pStyle w:val="Heading1"/>
      </w:pPr>
      <w:r>
        <w:t xml:space="preserve">2.2.2 Pelaksanaan peraturan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wawancara dengan warga madrasah</w:t>
      </w:r>
    </w:p>
    <w:p>
      <w:pPr>
        <w:pStyle w:val="Compact"/>
        <w:numPr>
          <w:ilvl w:val="0"/>
          <w:numId w:val="1001"/>
        </w:numPr>
      </w:pPr>
      <w:r>
        <w:t xml:space="preserve">☐ Laporan kehadiran</w:t>
      </w:r>
    </w:p>
    <w:p>
      <w:pPr>
        <w:pStyle w:val="Compact"/>
        <w:numPr>
          <w:ilvl w:val="0"/>
          <w:numId w:val="1001"/>
        </w:numPr>
      </w:pPr>
      <w:r>
        <w:t xml:space="preserve">☐ Notulen rapat/briefing pengarahan kegiatan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