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eteladanan-pemanfaatan-sumber-daya"/>
    <w:p>
      <w:pPr>
        <w:pStyle w:val="Heading1"/>
      </w:pPr>
      <w:r>
        <w:t xml:space="preserve">2.2.3 Keteladanan pemanfaatan sumber daya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Catatan wawancara dengan warga madrasah</w:t>
      </w:r>
    </w:p>
    <w:p>
      <w:pPr>
        <w:pStyle w:val="Compact"/>
        <w:numPr>
          <w:ilvl w:val="0"/>
          <w:numId w:val="1001"/>
        </w:numPr>
      </w:pPr>
      <w:r>
        <w:t xml:space="preserve">☐ Dokumen monitoring dan evaluasi pemanfaatan sumber belajar</w:t>
      </w:r>
    </w:p>
    <w:p>
      <w:pPr>
        <w:pStyle w:val="Compact"/>
        <w:numPr>
          <w:ilvl w:val="0"/>
          <w:numId w:val="1001"/>
        </w:numPr>
      </w:pPr>
      <w:r>
        <w:t xml:space="preserve">☐ Notulensi rapat/diskusi pemanfaatan sumber belajar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2026-09-14T19:31:52Z</dcterms:created>
  <dcterms:modified xsi:type="dcterms:W3CDTF">2026-09-14T19:31:52Z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