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udaya-mutu-kompetitif"/>
    <w:p>
      <w:pPr>
        <w:pStyle w:val="Heading1"/>
      </w:pPr>
      <w:r>
        <w:t xml:space="preserve">2.3.1 Budaya mutu kompetitif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Data peningkatan KKM</w:t>
      </w:r>
    </w:p>
    <w:p>
      <w:pPr>
        <w:pStyle w:val="Compact"/>
        <w:numPr>
          <w:ilvl w:val="0"/>
          <w:numId w:val="1001"/>
        </w:numPr>
      </w:pPr>
      <w:r>
        <w:t xml:space="preserve">☐ Data hasil UN</w:t>
      </w:r>
    </w:p>
    <w:p>
      <w:pPr>
        <w:pStyle w:val="Compact"/>
        <w:numPr>
          <w:ilvl w:val="0"/>
          <w:numId w:val="1001"/>
        </w:numPr>
      </w:pPr>
      <w:r>
        <w:t xml:space="preserve">☐ Program keunggulan dan inovasi akademik/non akademik</w:t>
      </w:r>
    </w:p>
    <w:p>
      <w:pPr>
        <w:pStyle w:val="Compact"/>
        <w:numPr>
          <w:ilvl w:val="0"/>
          <w:numId w:val="1001"/>
        </w:numPr>
      </w:pPr>
      <w:r>
        <w:t xml:space="preserve">☐ Data prestasi akademik dan non akademik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2026-09-14T19:31:52Z</dcterms:created>
  <dcterms:modified xsi:type="dcterms:W3CDTF">2026-09-14T19:31:52Z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