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daya-baca-dan-tulis"/>
    <w:p>
      <w:pPr>
        <w:pStyle w:val="Heading1"/>
      </w:pPr>
      <w:r>
        <w:t xml:space="preserve">2.3.3 Budaya baca dan tulis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Rencana dan laporan pelaksanaan kegiatan literasi</w:t>
      </w:r>
    </w:p>
    <w:p>
      <w:pPr>
        <w:pStyle w:val="Compact"/>
        <w:numPr>
          <w:ilvl w:val="0"/>
          <w:numId w:val="1001"/>
        </w:numPr>
      </w:pPr>
      <w:r>
        <w:t xml:space="preserve">☐ Dokumen kegiatan pengembangan budaya baca</w:t>
      </w:r>
    </w:p>
    <w:p>
      <w:pPr>
        <w:pStyle w:val="Compact"/>
        <w:numPr>
          <w:ilvl w:val="0"/>
          <w:numId w:val="1001"/>
        </w:numPr>
      </w:pPr>
      <w:r>
        <w:t xml:space="preserve">☐ Dokumen/pajangan hasil karya tulis siswa</w:t>
      </w:r>
    </w:p>
    <w:p>
      <w:pPr>
        <w:pStyle w:val="Compact"/>
        <w:numPr>
          <w:ilvl w:val="0"/>
          <w:numId w:val="1001"/>
        </w:numPr>
      </w:pPr>
      <w:r>
        <w:t xml:space="preserve">☐ Data kunjungan perpustakaan</w:t>
      </w:r>
    </w:p>
    <w:p>
      <w:pPr>
        <w:pStyle w:val="Compact"/>
        <w:numPr>
          <w:ilvl w:val="0"/>
          <w:numId w:val="1001"/>
        </w:numPr>
      </w:pPr>
      <w:r>
        <w:t xml:space="preserve">☐ Data peminjaman buku perpustakaan</w:t>
      </w:r>
    </w:p>
    <w:p>
      <w:pPr>
        <w:pStyle w:val="Compact"/>
        <w:numPr>
          <w:ilvl w:val="0"/>
          <w:numId w:val="1001"/>
        </w:numPr>
      </w:pPr>
      <w:r>
        <w:t xml:space="preserve">☐ Catatan observasi/wawancara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