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egiatan-lomba-akademik-nonakademik"/>
    <w:p>
      <w:pPr>
        <w:pStyle w:val="Heading1"/>
      </w:pPr>
      <w:r>
        <w:t xml:space="preserve">2.3.4 Kegiatan lomba akademik nonakademik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Dokumen penyelenggaraan kegiatan kompetisi tingkat madrasah</w:t>
      </w:r>
    </w:p>
    <w:p>
      <w:pPr>
        <w:pStyle w:val="Compact"/>
        <w:numPr>
          <w:ilvl w:val="0"/>
          <w:numId w:val="1001"/>
        </w:numPr>
      </w:pPr>
      <w:r>
        <w:t xml:space="preserve">☐ Daftar perolehan piagam, penghargaan, piala, trofi semua jenjang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2026-09-14T19:31:52Z</dcterms:created>
  <dcterms:modified xsi:type="dcterms:W3CDTF">2026-09-14T19:31:52Z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