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erencanaan-pengembangan-ptk"/>
    <w:p>
      <w:pPr>
        <w:pStyle w:val="Heading1"/>
      </w:pPr>
      <w:r>
        <w:t xml:space="preserve">2.4.1 Perencanaan pengembangan PTK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Program kerja kepala madrasah</w:t>
      </w:r>
    </w:p>
    <w:p>
      <w:pPr>
        <w:pStyle w:val="Compact"/>
        <w:numPr>
          <w:ilvl w:val="0"/>
          <w:numId w:val="1001"/>
        </w:numPr>
      </w:pPr>
      <w:r>
        <w:t xml:space="preserve">☐ Laporan kegiatan workshop/pelatihan kompetensi guru</w:t>
      </w:r>
    </w:p>
    <w:p>
      <w:pPr>
        <w:pStyle w:val="Compact"/>
        <w:numPr>
          <w:ilvl w:val="0"/>
          <w:numId w:val="1001"/>
        </w:numPr>
      </w:pPr>
      <w:r>
        <w:t xml:space="preserve">☐ Dokumentasi (foto/video) kegiatan workshop/pelatihan guru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