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binaan-berkala"/>
    <w:p>
      <w:pPr>
        <w:pStyle w:val="Heading1"/>
      </w:pPr>
      <w:r>
        <w:t xml:space="preserve">2.4.2 Pembinaan berkala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Buku/catatan pembinaan guru dan tendik</w:t>
      </w:r>
    </w:p>
    <w:p>
      <w:pPr>
        <w:pStyle w:val="Compact"/>
        <w:numPr>
          <w:ilvl w:val="0"/>
          <w:numId w:val="1001"/>
        </w:numPr>
      </w:pPr>
      <w:r>
        <w:t xml:space="preserve">☐ Notulen dan daftar hadir rapat pembinaan</w:t>
      </w:r>
    </w:p>
    <w:p>
      <w:pPr>
        <w:pStyle w:val="Compact"/>
        <w:numPr>
          <w:ilvl w:val="0"/>
          <w:numId w:val="1001"/>
        </w:numPr>
      </w:pPr>
      <w:r>
        <w:t xml:space="preserve">☐ Laporan kinerja kepala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