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asilitasi-pembinaan-kompetensi"/>
    <w:p>
      <w:pPr>
        <w:pStyle w:val="Heading1"/>
      </w:pPr>
      <w:r>
        <w:t xml:space="preserve">2.4.3 Fasilitasi pembinaan kompetensi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Buku/catatan pembinaan guru dan tendik</w:t>
      </w:r>
    </w:p>
    <w:p>
      <w:pPr>
        <w:pStyle w:val="Compact"/>
        <w:numPr>
          <w:ilvl w:val="0"/>
          <w:numId w:val="1001"/>
        </w:numPr>
      </w:pPr>
      <w:r>
        <w:t xml:space="preserve">☐ Notulen dan daftar hadir rapat pembinaan</w:t>
      </w:r>
    </w:p>
    <w:p>
      <w:pPr>
        <w:pStyle w:val="Compact"/>
        <w:numPr>
          <w:ilvl w:val="0"/>
          <w:numId w:val="1001"/>
        </w:numPr>
      </w:pPr>
      <w:r>
        <w:t xml:space="preserve">☐ Laporan kinerja kepala madrasah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2026-09-14T19:31:51Z</dcterms:created>
  <dcterms:modified xsi:type="dcterms:W3CDTF">2026-09-14T19:31:51Z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