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mantauan-hasil-pelatihan"/>
    <w:p>
      <w:pPr>
        <w:pStyle w:val="Heading1"/>
      </w:pPr>
      <w:r>
        <w:t xml:space="preserve">2.4.4 Pemantauan hasil pelatihan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pelatihan pengembangan profesi guru dan tendik</w:t>
      </w:r>
    </w:p>
    <w:p>
      <w:pPr>
        <w:pStyle w:val="Compact"/>
        <w:numPr>
          <w:ilvl w:val="0"/>
          <w:numId w:val="1001"/>
        </w:numPr>
      </w:pPr>
      <w:r>
        <w:t xml:space="preserve">☐ Laporan pelaksanaan pelatihan pengembangan profesi guru dan tendik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