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asilitas-prasarana-dan-perabot"/>
    <w:p>
      <w:pPr>
        <w:pStyle w:val="Heading1"/>
      </w:pPr>
      <w:r>
        <w:t xml:space="preserve">2.5.1 Fasilitas prasarana dan perabot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Buku inventaris</w:t>
      </w:r>
    </w:p>
    <w:p>
      <w:pPr>
        <w:pStyle w:val="Compact"/>
        <w:numPr>
          <w:ilvl w:val="0"/>
          <w:numId w:val="1001"/>
        </w:numPr>
      </w:pPr>
      <w:r>
        <w:t xml:space="preserve">☐ Buku pemeliharaan sarana dan prasarana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